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Intrusion Detectors on GeNIS 2025: Calibration, Cost, and Protocol Robustness</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We audit it with four complementary feature tests, an explicit protocol rather than a leakage-free guarantee, and benchmark it across three feature conditions, two protocols and five seeds, with paired tests. Three findings have methodological implications, and we re-test two on CICIDS2017.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nine-class accuracy under a label-aware per-class temporal split against a 19.4% majority. On CICIDS2017 it falls to 10.3%, so whether temporal splitting suffices is a corpus property. The benign-trained autoencoder reached AUROC 0.0000 against PSH-ACK floods, below chance overall. A random split saturates the task, leaving eleven model pairs indistinguishable and the ranking uninterpretable. Under temporal evaluation the FT-Transformer leads and the boosted trees that dominated fall behind every neural detector and the linear model. Calibration degrades the same way for nine of eleven detectors. On cost, logistic regression leads XGBoost on four of five measured axes, trailing the best temporal macro-F1 by 0.0020 at 1 097 times its throughput. We release the blacklist, splits, calibration, cost and models as an audited protocol for later GeNIS work.</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feature auditing, temporal evaluation, model calibration,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leakage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four-test leakage audit, of which the transferability rule is one</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Four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Layeghy and Portmann approach the question through explanation rather than through scores alone, evaluating machine-learned detectors across domains and comparing what feature attribution reports each of them learned [15]. Verkerken et al. carry the same measurement to unsupervised detection, where four anomaly-based methods that score well on one corpus lose 25.63% of accuracy on average when they are moved to a second, related one [16].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[17], and security is a domain where the stakes of the confusion are highest. Arp et al. catalogue the recurring pitfalls of security ML (sampling bias, spurious correlations, data snooping) and find them endemic in published work [18]. Two lines are directly upstream of ours. TESSERACT demonstrated that ignoring temporal structure inflates malware-classification results, and argued for chronologically consistent splits as a validity requirement rather than a robustness extra [19]. Closer to network flows, D'hooge et al. first measured how twelve supervised algorithms generalize from CIC-IDS2017 to CSE-CIC-IDS2018 [20]. The same group then established the contaminating effect of metadata features in NIDS models: the destination port alone separates ten state-of-the-art IDS datasets at 70–100% accuracy, so any model given that feature learns a dataset artefact rather than traffic behaviour [21].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that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[22].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[23].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[24], and a detector whose confidence is miscalibrated cannot drive thresholded automation; temperature scaling [24] and selective classification with a reject option [25, 26] are the standard correctives, and uncertainty quantification is increasingly argued to be a first-class requirement for trustworthy NIDS [27]. Class imbalance interacts with all of this. Under the natural distribution of GeNIS (7.4% benign traffic at the 60-second interval), accuracy is close to vacuous and metrics such as macro-F1 and the Matthews correlation coefficient are the informative ones [28]. Finally, the tabular-learning literature gives strong prior reason to include tree ensembles alongside deep detectors. Gradient-boosted trees remain consistently competitive or superior on tabular data [29, 30], with attention-based architectures such as the FT-Transformer as the strongest deep contenders [31].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[32].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[33],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 It carries the studies whose protocol we could read in full and score on all eight; the two closest antecedents in genre, the inter-corpus benchmark of [20] and the cross-domain evaluation of [15], are discussed in Sections 2.1 and 2.2 instead.</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[21]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Verkerken et al. [16]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[34]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cuts nothing on this axis, since a class falls entirely inside one window, which is what makes it degenerate here and why we report it as a property of the corpus rather than use it as a protocol. Its two rows are the only place where the nine classes do not read alike, so both are drawn.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leakage audit</w:t>
      </w:r>
    </w:p>
    <w:p>
      <w:pPr>
        <w:spacing w:after="120" w:line="276"/>
        <w:jc w:val="both"/>
      </w:pPr>
      <w:r>
        <w:rPr>
          <w:rFonts w:ascii="Times New Roman" w:cs="Times New Roman" w:eastAsia="Times New Roman" w:hAnsi="Times New Roman"/>
          <w:b/>
          <w:bCs/>
          <w:i w:val="false"/>
          <w:iCs w:val="false"/>
          <w:sz w:val="22"/>
          <w:szCs w:val="22"/>
        </w:rPr>
        <w:t xml:space="preserve">What leakage-audited means in this paper. </w:t>
      </w:r>
      <w:r>
        <w:rPr>
          <w:rFonts w:ascii="Times New Roman" w:cs="Times New Roman" w:eastAsia="Times New Roman" w:hAnsi="Times New Roman"/>
          <w:b w:val="false"/>
          <w:bCs w:val="false"/>
          <w:i w:val="false"/>
          <w:iCs w:val="false"/>
          <w:sz w:val="22"/>
          <w:szCs w:val="22"/>
        </w:rPr>
        <w:t xml:space="preserve">The term names a procedure that was applied, not a property the corpus has been shown to possess. Four tests decide the fate of a column here, and each has a blind spot that another covers. Identifier and topology columns are excluded by name, positional columns are excluded by name, a transferability rule excludes behavioural columns whose predictive power does not survive a change of protocol, and a capture-file test that reads no label excludes columns identifying the file a flow was read from. Together they are an explicit multi-step audit, and that is the whole of the claim. It is not a claim that every form of leakage has been covered, nor that GeNIS is certified free of leakage. Two columns show both sides of that. IdleTime passed the first three tests and was caught by the fourth, which we added late enough that the audited condition had to be retrained without it, and Section 9 reports what the omission cost. Offset is returned by no test at all and yet separates benign from attack traffic at an AUC of 0.9379, so we retain it and record the anomaly rather than exclude on suspicion.</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the threshold is the part of this rule that travels least well. The nested audit below returns the eight excluded columns as the eight lowest ratios, separated from the rest by the widest gap in that distribution, whereas a literal 0.50 cut excludes nothing under that design. What identifies a shortcut is therefore its rank and the gap that isolates it, and 0.50 is the number this campaign cut at. A reader meeting it here should also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[21].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Taken alone, the rule is a schedule-dependent shortcut test,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[31].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first campaign comprises 154 training runs. The audited condition was then retrained in full, over 180 further runs, once the capture-file test added its thirteenth column (Section 9), and it is that repeat which every table below reports. Every number is reproducible from the released artefact, though not equally on both sides of it. For the first campaign the per-flow probability matrices are archived, so its statistics can be re-derived from the predictions. The repeat releases the derived statistics rather than the predictions, the pairwise McNemar values before and after correction, the bootstrap intervals, the calibration errors and the fitted temperatures among them, so every figure and table recomputes from experiments/e8 while the statistics themselves rest on the runs as recorded.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The majority baseline predicts a constant, so it takes no part in the pairwise tests and the ten remaining detectors give 45 pairs. Of those,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[19]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[35, 36].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[35, 36],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The majority baseline takes no part, so the ten remaining detectors give 45 pairs, eleven of which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some detectors depend on it, and depth does not predict which</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[37].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 The nearest external evidence is Verkerken et al., who evaluate four unsupervised detectors including an autoencoder and report an average loss of 25.63% of accuracy when the same model is moved from CIC-IDS-2017 to CSE-CIC-IDS-2018 [16]. That result concerns transfer between corpora rather than polarity within one, so it does not settle the question just raised, but it places our observation in a literature where unsupervised detection is already known to travel badly.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[19]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[35, 36],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[21],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[35, 36].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 One element of the procedure does not carry to another corpus, and it is the threshold. Section 4.3 recovers the eight columns by their rank and by the gap that isolates them under an audit design where the literal 0.50 cut excludes nothing, so a study on a different corpus should transport the ranking and the gap rather than the number.</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 A second limit bounds what that axis means. The per-class split orders flows inside each class and therefore uses the label to build its partition, so it measures whether a detector still recognises later flows of a family it has already seen, and not what it would do on an unlabelled stream arriving after training (Section 4.2). These are recommendations under that diagnostic.</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[21]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[21].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the GeNIS 2025 corpus with a four-test feature protocol and benchmarked it with eleven supervised detectors, one unsupervised detector, five seeds, two feature conditions beyond the raw one, two evaluation protocols, and paired significance testing: 154 training runs, and the 180 that repeated the audited condition after the correction of Section 9.</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What a study on another corpus should carry over is the ranking that procedure produces and the gap that isolates its lowest columns, not the threshold we cut ours at.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per-class temporal protocol, a label-using diagnostic rather than a model of deployment,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A fourth addition extends the interval study of Section 6.4 from three detectors to nine, seventy-two runs, three seeds at each of three intervals for the six detectors it adds and the two seeds already measured for the other three, under experiments/e5 with its cell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by paper/make_blacklist_csv.py from three files, and only the first is in the archive: the published campaign, the nested audit of Section 4.3, and the capture-file test of Section 9, the last two living in the repository under experiments/e4a and experiments/e7. The script asserts that the file reproduces every count reported here. One field of the archive needs reading with that in mind. Its audit.blacklist is the twelve-column list the first campaign was trained on, and the thirteenth column arrived with the capture-file test afterwards, so it is blacklist.csv and the blacklist_corrigee field of experiments/e7 and experiments/e8 that carry the feature set every number reported here was produced under</w:t>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keepNext/>
        <w:spacing w:after="120" w:before="320"/>
      </w:pPr>
      <w:r>
        <w:rPr>
          <w:rFonts w:ascii="Calibri" w:cs="Calibri" w:eastAsia="Calibri" w:hAnsi="Calibri"/>
          <w:b/>
          <w:bCs/>
          <w:color w:val="1F3864"/>
          <w:sz w:val="28"/>
          <w:szCs w:val="28"/>
        </w:rPr>
        <w:t xml:space="preserve">13. Declaration of competing interest</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pStyle w:val="Heading1"/>
        <w:keepNext/>
        <w:spacing w:after="120" w:before="320"/>
      </w:pPr>
      <w:r>
        <w:rPr>
          <w:rFonts w:ascii="Calibri" w:cs="Calibri" w:eastAsia="Calibri" w:hAnsi="Calibri"/>
          <w:b/>
          <w:bCs/>
          <w:color w:val="1F3864"/>
          <w:sz w:val="28"/>
          <w:szCs w:val="28"/>
        </w:rPr>
        <w:t xml:space="preserve">14. CRediT authorship contribution statement</w:t>
      </w:r>
    </w:p>
    <w:p>
      <w:pPr>
        <w:spacing w:after="120" w:line="276"/>
        <w:jc w:val="both"/>
      </w:pPr>
      <w:r>
        <w:rPr>
          <w:rFonts w:ascii="Times New Roman" w:cs="Times New Roman" w:eastAsia="Times New Roman" w:hAnsi="Times New Roman"/>
          <w:b w:val="false"/>
          <w:bCs w:val="false"/>
          <w:i w:val="false"/>
          <w:iCs w:val="false"/>
          <w:sz w:val="22"/>
          <w:szCs w:val="22"/>
        </w:rPr>
        <w:t xml:space="preserve">Mohamed Ala Eddine Bahri: Conceptualization, Methodology, Software, Validation, Formal analysis, Investigation, Data curation, Writing – original draft, Visualization. Farah Jemili: Conceptualization, Methodology, Supervision, Writing – review and editing. Mohamed Mosbah: Supervision, Writing – review and editing.</w:t>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S. Layeghy, M. Portmann, Explainable cross-domain evaluation of ML-based network intrusion detection systems, Computers and Electrical Engineering 108 (2023) 108692. https://doi.org/10.1016/j.compeleceng.2023.108692.</w:t>
      </w:r>
    </w:p>
    <w:p>
      <w:pPr>
        <w:spacing w:after="80" w:line="240"/>
        <w:ind w:left="480" w:hanging="480"/>
        <w:jc w:val="both"/>
      </w:pPr>
      <w:r>
        <w:rPr>
          <w:rFonts w:ascii="Times New Roman" w:cs="Times New Roman" w:eastAsia="Times New Roman" w:hAnsi="Times New Roman"/>
          <w:sz w:val="19"/>
          <w:szCs w:val="19"/>
        </w:rPr>
        <w:t xml:space="preserve">[16] M. Verkerken, L. D'hooge, T. Wauters, B. Volckaert, F. De Turck, Towards model generalization for intrusion detection: Unsupervised machine learning techniques, Journal of Network and Systems Management. VOLUME, YEAR AND DOI TO BE COMPLETED.</w:t>
      </w:r>
    </w:p>
    <w:p>
      <w:pPr>
        <w:spacing w:after="80" w:line="240"/>
        <w:ind w:left="480" w:hanging="480"/>
        <w:jc w:val="both"/>
      </w:pPr>
      <w:r>
        <w:rPr>
          <w:rFonts w:ascii="Times New Roman" w:cs="Times New Roman" w:eastAsia="Times New Roman" w:hAnsi="Times New Roman"/>
          <w:sz w:val="19"/>
          <w:szCs w:val="19"/>
        </w:rPr>
        <w:t xml:space="preserve">[17]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[18]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[19]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[20] L. D'hooge, T. Wauters, B. Volckaert, F. De Turck, Inter-dataset generalization strength of supervised machine learning methods for intrusion detection, Journal of Information Security and Applications 54 (2020) 102564. https://doi.org/10.1016/j.jisa.2020.102564.</w:t>
      </w:r>
    </w:p>
    <w:p>
      <w:pPr>
        <w:spacing w:after="80" w:line="240"/>
        <w:ind w:left="480" w:hanging="480"/>
        <w:jc w:val="both"/>
      </w:pPr>
      <w:r>
        <w:rPr>
          <w:rFonts w:ascii="Times New Roman" w:cs="Times New Roman" w:eastAsia="Times New Roman" w:hAnsi="Times New Roman"/>
          <w:sz w:val="19"/>
          <w:szCs w:val="19"/>
        </w:rPr>
        <w:t xml:space="preserve">[21]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[22]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[23]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[24]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[25]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[26]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[27]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[28]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[29]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[30]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[31]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[32]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[33]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[34]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[35]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[36]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[37]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