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and benchmark it over 154 runs across three feature conditions, two protocols and five seeds, with paired tests. Three findings have methodological implications, and we re-run the audit on CICIDS2017 to test the two it can reach.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per-class temporal split against a 19.4% majority. On CICIDS2017 it falls to 10.3%, so whether temporal splitting suffices is a corpus property to measure. The benign-trained autoencoder reached AUROC 0.0000 against PSH-ACK floods, below chance overall. For the corpus itself,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