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[13], and security is a domain where the stakes of the confusion are highest. Arp et al. catalogue the recurring pitfalls of security ML (sampling bias, spurious correlations, data snooping) and find them endemic in published work [14]. Two lines are directly upstream of ours. TESSERACT demonstrated that ignoring temporal structure inflates malware-classification results, and argued for chronologically consistent splits as a validity requirement rather than a robustness extra [15].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[16].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[17], and a detector whose confidence is dishonest cannot drive thresholded automation; temperature scaling [17] and selective classification with a reject option [18, 19] are the standard correctives, and uncertainty quantification is increasingly argued to be a first-class requirement for trustworthy NIDS [20]. Class imbalance interacts with all of this: under the natural distribution of GeNIS (7.4% benign traffic at the 60-second interval), accuracy is close to vacuous and metrics such as macro-F1 and the Matthews correlation coefficient are the informative ones [21]. Finally, the tabular-learning literature gives strong prior reason to include tree ensembles alongside deep detectors: gradient-boosted trees remain consistently competitive or superior on tabular data [22, 23], with attention-based architectures such as the FT-Transformer as the strongest deep contenders [24].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[25],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[26]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[16].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is applied to the paired multiclass prediction vectors of two detectors on the same seed-1 test partition: it asks whether they misclassify different flows, not whether their macro-F1 differs, and it is exact under the pairing because both detectors see the identical flows in the identical order.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[24].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[15]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[27, 28].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[27, 28],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[29].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it has to be measured, and the timestamp probe under both protocols is the measurement, which costs seconds. On GeNIS the answer is no and feature exclusion is required; on CICIDS2017 the answer is yes. The requirement that evaluation be chronologically consistent [15]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w:t>
      </w:r>
    </w:p>
    <w:p>
      <w:pPr>
        <w:spacing w:after="120" w:line="276"/>
        <w:jc w:val="both"/>
      </w:pPr>
      <w:r>
        <w:rPr>
          <w:rFonts w:ascii="Times New Roman" w:cs="Times New Roman" w:eastAsia="Times New Roman" w:hAnsi="Times New Roman"/>
          <w:b/>
          <w:bCs/>
          <w:i w:val="false"/>
          <w:iCs w:val="false"/>
          <w:sz w:val="22"/>
          <w:szCs w:val="22"/>
        </w:rPr>
        <w:t xml:space="preserve">What was already known, and what was not. </w:t>
      </w:r>
      <w:r>
        <w:rPr>
          <w:rFonts w:ascii="Times New Roman" w:cs="Times New Roman" w:eastAsia="Times New Roman" w:hAnsi="Times New Roman"/>
          <w:b w:val="false"/>
          <w:bCs w:val="false"/>
          <w:i w:val="false"/>
          <w:iCs w:val="false"/>
          <w:sz w:val="22"/>
          <w:szCs w:val="22"/>
        </w:rPr>
        <w:t xml:space="preserve">Three of the seven pairs are already in the literature, and it matters that they are. Engelen et al. [1] trace the repeated Fwd Header Length column to a defect in the CICFlowMeter extractor, and Rosay et al. [10], re-extracting the corpus from its packet captures with their own tool, report feature duplication as one of five categories of defect and name Fwd Packet Length Mean with Avg Fwd Segment Size and Bwd Packet Length Mean with Avg Bwd Segment Size among the duplicated pairs. Two further pairs of ours have a documented cause even where the identity itself appears not to have been reported: Fwd PSH Flags coincides with SYN Flag Count and Fwd URG Flags with CWE Flag Count, and Engelen et al. also record that the extractor failed to increment the forward and backward PSH and URG counters, which is the kind of failure that collapses one column onto another. The two remaining pairs, Total Fwd Packets with Subflow Fwd Packets and Total Backward Packets with Subflow Bwd Packets, we have not found reported. Conversely, one pair described in that literature as duplicated, Average Packet Size and Packet Length Mean, our check does not return: the two are duplicated by definition but not numerically, taking 37 309 and 38 163 distinct values in the released files and classifying at 0.930 and 0.922, which is what a separate finding of miscalculated features would predict. We report the discrepancy rather than resolve it, since resolving it would require the exporter comparison that is their contribution and not ours.</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three of these pairs have been in the public record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[27, 28],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[16],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already documented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[27, 28];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second-widest region of the distribution rather than the widest.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[16];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[14]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[15]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[16]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[17]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[18]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[19]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[20]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[21]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[22]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[23]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[24]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[25]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[26]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[27]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[28]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[29]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