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behind every neural detector and the linear model. Calibration behaves likewise: near-perfect under a random split, it degrades for nine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6.8 it is 1.02, so single-feature accuracy is not lower under the temporal protocol but marginally higher; and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and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those models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not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k-NN is the worst of both worlds, paying 621 flows/s, 25.8 ms and 11.4 MB for a temporal macro-F1 of 0.9574, eighth of nine. One caveat governs how the latency column may be read. The four Keras models return median latencies within 4% of each other (76.8 to 80.1 ms) although their batched throughput differs by a factor of 95, so that column is dominated by a fixed per-call overhead of the prediction API and is not comparable with the scikit-learn column. The throughput column does amortise that overhead: it is one call over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Latency, throughput and macro-F1 are measured on the audited condition as corrected in Section 9, over 54 columns, in a single session with the Keras models pinned to the CPU.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k-nearest neighbours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and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correction of Section 9 is a third addition and it does retrain: the capture-file test that identifies the offending column is under experiments/e7, and the campaign that repeats the audited condition without it — 180 runs over fifteen configurations, both protocols and five seeds, together with the re-measured inference cost and the paired tests of Figures 9 and 11 — is under experiments/e8, again with its notebook under colab/. Tables 2, 7, 8, 10 and 13 and Figures 5, 9, 10, 11, 14 and 18 are computed from that campaign by the scripts under paper/, each of which asserts the counts it reproduces.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