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leads neither, at 548 flows/s — 78 times below XGBoost — and it leads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the defensible default depends on which cost binds. Where flows are scored in batches, logistic regression dominates: 601 449 flows/s, 0.14 ms, a model of negligible size, accuracy within 0.004 of the best under a random split and second under the temporal protocol at 0.9881 — 0.0020 behind the FT-Transformer, which costs 1 097 times more per flow. Where each flow must be scored on arrival, XGBoost leads on median latency at 1.22 ms with accuracy within 0.0001 of the best, though LightGBM holds the tighter tail (2.32 ms against 5.89 ms at the 99th percentile) at a seventh of the throughput. Random forest is the case that shows the two regimes apart: second on batched throughput, yet 55 ms per flow, which is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430 flows per second, a hundred times fewer than XGBoost. XGBoost sits in the bottom third on quality at 0.9666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0.0040 of macro-F1 under the stratified protocol and 0.0263 under the temporal one, the same eightfold ratio between protocols that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