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both"/>
      </w:pPr>
      <w:r>
        <w:rPr>
          <w:rFonts w:ascii="Times New Roman" w:cs="Times New Roman" w:eastAsia="Times New Roman" w:hAnsi="Times New Roman"/>
          <w:b w:val="false"/>
          <w:bCs w:val="false"/>
          <w:i w:val="false"/>
          <w:iCs w:val="false"/>
          <w:sz w:val="21"/>
          <w:szCs w:val="21"/>
        </w:rPr>
        <w:t xml:space="preserve">Mohamed Ala Eddine Bahri</w:t>
      </w:r>
    </w:p>
    <w:p>
      <w:pPr>
        <w:spacing w:after="200" w:line="276"/>
        <w:jc w:val="both"/>
      </w:pPr>
      <w:r>
        <w:rPr>
          <w:rFonts w:ascii="Times New Roman" w:cs="Times New Roman" w:eastAsia="Times New Roman" w:hAnsi="Times New Roman"/>
          <w:b w:val="false"/>
          <w:bCs w:val="false"/>
          <w:i w:val="false"/>
          <w:iCs w:val="false"/>
          <w:sz w:val="21"/>
          <w:szCs w:val="21"/>
        </w:rPr>
        <w:t xml:space="preserve">INSIGHT Lab, ISITCom, University of Sousse</w:t>
      </w:r>
    </w:p>
    <w:p>
      <w:pPr>
        <w:spacing w:after="200" w:line="276"/>
        <w:jc w:val="both"/>
      </w:pPr>
      <w:r>
        <w:rPr>
          <w:rFonts w:ascii="Times New Roman" w:cs="Times New Roman" w:eastAsia="Times New Roman" w:hAnsi="Times New Roman"/>
          <w:b w:val="false"/>
          <w:bCs w:val="false"/>
          <w:i w:val="false"/>
          <w:iCs w:val="false"/>
          <w:sz w:val="21"/>
          <w:szCs w:val="21"/>
        </w:rPr>
        <w:t xml:space="preserve">Hammam Sousse 4011, Tunisia</w:t>
      </w:r>
    </w:p>
    <w:p>
      <w:pPr>
        <w:spacing w:after="200" w:line="276"/>
        <w:jc w:val="both"/>
      </w:pPr>
      <w:r>
        <w:rPr>
          <w:rFonts w:ascii="Times New Roman" w:cs="Times New Roman" w:eastAsia="Times New Roman" w:hAnsi="Times New Roman"/>
          <w:b w:val="false"/>
          <w:bCs w:val="false"/>
          <w:i w:val="false"/>
          <w:iCs w:val="false"/>
          <w:sz w:val="21"/>
          <w:szCs w:val="21"/>
        </w:rPr>
        <w:t xml:space="preserve">bahri.mohamedalaeddine@isitc.u-sousse.tn</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To the Editor-in-Chief</w:t>
      </w:r>
    </w:p>
    <w:p>
      <w:pPr>
        <w:spacing w:after="200" w:line="276"/>
        <w:jc w:val="both"/>
      </w:pPr>
      <w:r>
        <w:rPr>
          <w:rFonts w:ascii="Times New Roman" w:cs="Times New Roman" w:eastAsia="Times New Roman" w:hAnsi="Times New Roman"/>
          <w:b w:val="false"/>
          <w:bCs w:val="false"/>
          <w:i w:val="false"/>
          <w:iCs w:val="false"/>
          <w:sz w:val="21"/>
          <w:szCs w:val="21"/>
        </w:rPr>
        <w:t xml:space="preserve">Engineering Applications of Artificial Intelligence</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Submission of an Original Research article: “A Leakage-Audited Benchmark of Eleven Intrusion Detectors on GeNIS 2025: Calibration, Cost, and Protocol Robustness”</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Dear Editor,</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We submit the manuscript above for consideration as an Original Research article.</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The contribution in AI and the application in engineering</w:t>
      </w:r>
    </w:p>
    <w:p>
      <w:pPr>
        <w:spacing w:after="200" w:line="276"/>
        <w:jc w:val="both"/>
      </w:pPr>
      <w:r>
        <w:rPr>
          <w:rFonts w:ascii="Times New Roman" w:cs="Times New Roman" w:eastAsia="Times New Roman" w:hAnsi="Times New Roman"/>
          <w:b w:val="false"/>
          <w:bCs w:val="false"/>
          <w:i w:val="false"/>
          <w:iCs w:val="false"/>
          <w:sz w:val="21"/>
          <w:szCs w:val="21"/>
        </w:rPr>
        <w:t xml:space="preserve">The contribution in artificial intelligence is a feature-audit protocol of four complementary tests, each with a stated blind spot, that decides which columns of a network-flow corpus a learned detector may use, together with the finding that attribution methods cannot stand in for it. On the corpus studied here, every one of the eight behavioural shortcuts the protocol removes is scored at or below 0.0001 by permutation importance, because they are mutually redundant and six of them are numerically identical columns. The application in engineering is network intrusion detection on enterprise traffic, evaluated here on GeNIS 2025, a corpus captured on an industrial CyberRange, with a second corpus used to test which of the findings carry.</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Fit with the journal</w:t>
      </w:r>
    </w:p>
    <w:p>
      <w:pPr>
        <w:spacing w:after="200" w:line="276"/>
        <w:jc w:val="both"/>
      </w:pPr>
      <w:r>
        <w:rPr>
          <w:rFonts w:ascii="Times New Roman" w:cs="Times New Roman" w:eastAsia="Times New Roman" w:hAnsi="Times New Roman"/>
          <w:b w:val="false"/>
          <w:bCs w:val="false"/>
          <w:i w:val="false"/>
          <w:iCs w:val="false"/>
          <w:sz w:val="21"/>
          <w:szCs w:val="21"/>
        </w:rPr>
        <w:t xml:space="preserve">The scope of Engineering Applications of Artificial Intelligence names “industrial experiences in the application of the above techniques, e.g. case studies or benchmarking exercises”. This paper is such an exercise made rigorous: eleven supervised detectors and one unsupervised detector, five seeds, two evaluation protocols, paired significance testing, and the calibration and single-host inference cost of every model, on a corpus whose first published numbers are about to become its reference numbers. The methodological result, that the standard remedies for shortcut learning, attribution ranking and chronological splitting, were each insufficient here and measurably so, is of direct use to anyone deploying a learned detector on operational traffic.</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Relation to our earlier work</w:t>
      </w:r>
    </w:p>
    <w:p>
      <w:pPr>
        <w:spacing w:after="200" w:line="276"/>
        <w:jc w:val="both"/>
      </w:pPr>
      <w:r>
        <w:rPr>
          <w:rFonts w:ascii="Times New Roman" w:cs="Times New Roman" w:eastAsia="Times New Roman" w:hAnsi="Times New Roman"/>
          <w:b w:val="false"/>
          <w:bCs w:val="false"/>
          <w:i w:val="false"/>
          <w:iCs w:val="false"/>
          <w:sz w:val="21"/>
          <w:szCs w:val="21"/>
        </w:rPr>
        <w:t xml:space="preserve">Three of the neural architectures evaluated here, the recurrent, convolutional and dense detectors, were first published by two of the authors in a conference paper, cited as reference [7], on a different corpus and under a single random split. The present manuscript reuses those architectures unchanged and serves as their provenance record. It shares no results, no corpus, no protocol and no text with that paper. Everything reported here, the audit protocol, the temporal evaluation, the calibration, the cost measurements and the external validation, is new.</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Principal findings</w:t>
      </w:r>
    </w:p>
    <w:p>
      <w:pPr>
        <w:spacing w:after="200" w:line="276"/>
        <w:jc w:val="both"/>
      </w:pPr>
      <w:r>
        <w:rPr>
          <w:rFonts w:ascii="Times New Roman" w:cs="Times New Roman" w:eastAsia="Times New Roman" w:hAnsi="Times New Roman"/>
          <w:b w:val="false"/>
          <w:bCs w:val="false"/>
          <w:i w:val="false"/>
          <w:iCs w:val="false"/>
          <w:sz w:val="21"/>
          <w:szCs w:val="21"/>
        </w:rPr>
        <w:t xml:space="preserve">A random split saturates the nine-class task, leaving eleven model pairs statistically indistinguishable and the leaderboard uninterpretable. A timestamp-only probe survives a label-aware per-class temporal split at 98.6% accuracy against a 19.4% majority rate, so chronological evaluation alone does not remove a schedule shortcut; on the second corpus the same probe falls to 10.3%, which makes the sufficiency of temporal splitting a property to measure rather than to assume. Under temporal evaluation the ranking inverts, and logistic regression trails the best macro-F1 by 0.0020 at 1 097 times its throughput.</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120" w:line="276"/>
        <w:jc w:val="both"/>
      </w:pPr>
      <w:r>
        <w:rPr>
          <w:rFonts w:ascii="Times New Roman" w:cs="Times New Roman" w:eastAsia="Times New Roman" w:hAnsi="Times New Roman"/>
          <w:b/>
          <w:bCs/>
          <w:i w:val="false"/>
          <w:iCs w:val="false"/>
          <w:sz w:val="22"/>
          <w:szCs w:val="22"/>
        </w:rPr>
        <w:t xml:space="preserve">Compliance and declarations</w:t>
      </w:r>
    </w:p>
    <w:p>
      <w:pPr>
        <w:spacing w:after="200" w:line="276"/>
        <w:jc w:val="both"/>
      </w:pPr>
      <w:r>
        <w:rPr>
          <w:rFonts w:ascii="Times New Roman" w:cs="Times New Roman" w:eastAsia="Times New Roman" w:hAnsi="Times New Roman"/>
          <w:b w:val="false"/>
          <w:bCs w:val="false"/>
          <w:i w:val="false"/>
          <w:iCs w:val="false"/>
          <w:sz w:val="21"/>
          <w:szCs w:val="21"/>
        </w:rPr>
        <w:t xml:space="preserve">The manuscript is 47 pages and 3.8 MB, within the journal’s limits, formatted single-column, with a 250-word abstract that carries no undefined acronym and six keywords. The title page and the anonymised manuscript are uploaded as separate files for double anonymized review; highlights and vector artwork accompany them. The code repository and the data archive are withheld from the anonymised manuscript because their addresses identify the authors, and we will supply both to the editorial office on request and restore the citations on acceptance.</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The work is original, has not been published elsewhere, and is not under consideration by another journal. All authors have approved the submission. The authors declare no competing financial or personal interests, and the research received no specific grant from any funding agency. A generative AI assistant was used to draft and revise portions of the manuscript text and to review the analysis code; the authors reviewed and edited all content and take full responsibility for it, as declared in the manuscript and in the submission system.</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Thank you for considering our work.</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Yours sincerely,</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Mohamed Ala Eddine Bahri, on behalf of Farah Jemili and Mohamed Mosbah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808080"/>
        <w:sz w:val="16"/>
        <w:szCs w:val="16"/>
      </w:rPr>
      <w:t xml:space="preserve">A Leakage-Audited Benchmark of Eleven Intrusion Detectors on GeNIS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0" w:hanging="320"/>
      </w:pPr>
    </w:lvl>
  </w:abstractNum>
  <w:abstractNum w:abstractNumId="3" w15:restartNumberingAfterBreak="0">
    <w:multiLevelType w:val="hybridMultilevel"/>
    <w:lvl w:ilvl="0" w15:tentative="1">
      <w:start w:val="1"/>
      <w:numFmt w:val="bullet"/>
      <w:lvlText w:val="•"/>
      <w:lvlJc w:val="star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Leakage-Audited Benchmark of Deep and Ensemble Detectors on the GeNIS 2025 Corpus: Calibration, Cost, and Class Imbalance under the Natural Distribution</dc:title>
  <dc:creator>Ala Bahri, Farah Jemili, Mohamed Mosbah</dc:creator>
  <dc:description>Article 1 — benchmark audité du corpus GeNIS 2025</dc:description>
  <cp:lastModifiedBy>Un-named</cp:lastModifiedBy>
  <cp:revision>1</cp:revision>
  <dcterms:created xsi:type="dcterms:W3CDTF">2026-08-06T17:58:24.879Z</dcterms:created>
  <dcterms:modified xsi:type="dcterms:W3CDTF">2026-08-06T17:58:24.881Z</dcterms:modified>
</cp:coreProperties>
</file>

<file path=docProps/custom.xml><?xml version="1.0" encoding="utf-8"?>
<Properties xmlns="http://schemas.openxmlformats.org/officeDocument/2006/custom-properties" xmlns:vt="http://schemas.openxmlformats.org/officeDocument/2006/docPropsVTypes"/>
</file>