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mc="http://schemas.openxmlformats.org/markup-compatibility/2006" xmlns:ns3="http://schemas.openxmlformats.org/drawingml/2006/main" xmlns:ns4="http://schemas.openxmlformats.org/drawingml/2006/picture" xmlns:r="http://schemas.openxmlformats.org/officeDocument/2006/relationships" xmlns:w="http://schemas.openxmlformats.org/wordprocessingml/2006/main" xmlns:wp="http://schemas.openxmlformats.org/drawingml/2006/wordprocessingDrawing" xmlns:ns1="http://schemas.openxmlformats.org/markup-compatibility/2006" xmlns:ns2="http://schemas.openxmlformats.org/drawingml/2006/wordprocessingDrawing" xmlns:ns5="http://schemas.openxmlformats.org/officeDocument/2006/relationships" xmlns:wpc="http://schemas.microsoft.com/office/word/2010/wordprocessingCanvas" xmlns:o="urn:schemas-microsoft-com:office:office" xmlns:m="http://schemas.openxmlformats.org/officeDocument/2006/math" xmlns:v="urn:schemas-microsoft-com:vml" xmlns:wp14="http://schemas.microsoft.com/office/word/2010/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Calibri" w:cs="Calibri" w:eastAsia="Calibri" w:hAnsi="Calibri"/>
          <w:b/>
          <w:bCs/>
          <w:color w:val="1F3864"/>
          <w:sz w:val="34"/>
          <w:szCs w:val="34"/>
        </w:rPr>
        <w:t xml:space="preserve">A Leakage-Audited Benchmark of Eleven Intrusion Detectors on GeNIS 2025: Calibration, Cost, and Protocol Robustness</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published numbers become reference numbers. GeNIS, released in 2025 from an independent CyberRange capture, is at that stage. The contribution to artificial intelligence is a four-test feature-audit protocol, explicit rather than a leakage-free guarantee, and the engineering application is network intrusion detection. We benchmark GeNIS across three feature conditions, two protocols and five seeds, with paired tests. Three findings have methodological implications, and we re-test two on CICIDS2017. Attribution-based auditing scored all eight behavioural shortcuts below 10⁻⁴, because they are mutually redundant and six numerically identical. Only isolated two-protocol evaluation exposed them. CICIDS2017 carries seven such pairs, ten of whose columns score zero. Chronological evaluation alone did not neutralise the shortcut disjoint attack windows create, a timestamp-only probe reaching 98.6% accuracy under a label-aware per-class temporal split against a 19.4% majority. On CICIDS2017 it falls to 10.3%, so whether temporal splitting suffices is corpus-dependent. The benign-trained autoencoder scored every flow of one flood family as more normal than every benign flow, below chance overall. A random split saturates the task, leaving eleven model pairs indistinguishable and the ranking uninterpretable. Under temporal evaluation the FT-Transformer leads and the boosted trees fall behind every neural detector and the linear model. Calibration degrades the same way for nine of eleven. On cost, logistic regression leads XGBoost on four of five axes, trailing the best temporal macro-F1 by 0.0020 at 1 097 times its throughput. We release the blacklist, splits, calibration, cost and models for later GeNIS work.</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GeNIS, benchmark, shortcut learning, data leakage, temporal evaluation</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which detectors perform best, but whether the first published numbers on a new corpus measure traffic patterns or artefacts of its generation.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a classifier given only the capture timestamp separates the nine classes at 99.70% accuracy, against a majority-class rate of 19.42%.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an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leakage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four-test leakage audit, of which the transferability rule is one</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thirteen-feature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nine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wp:inline distT="0" distB="0" distL="0" distR="0">
            <wp:extent cx="6124575" cy="3474720"/>
            <wp:effectExtent t="0" r="0" b="0" l="0"/>
            <wp:docPr id="32" name="" descr="" title=""/>
            <wp:cNvGraphicFramePr>
              <ns3:graphicFrameLocks noChangeAspect="1"/>
            </wp:cNvGraphicFramePr>
            <ns3:graphic>
              <ns3:graphicData uri="http://schemas.openxmlformats.org/drawingml/2006/picture">
                <ns4:pic>
                  <ns4:nvPicPr>
                    <ns4:cNvPr id="0" name="" descr=""/>
                    <ns4:cNvPicPr>
                      <ns3:picLocks noChangeAspect="1" noChangeArrowheads="1"/>
                    </ns4:cNvPicPr>
                  </ns4:nvPicPr>
                  <ns4:blipFill>
                    <ns3:blip r:embed="rId25" cstate="none"/>
                    <ns3:srcRect/>
                    <ns3:stretch>
                      <ns3:fillRect/>
                    </ns3:stretch>
                  </ns4:blipFill>
                  <ns4:spPr bwMode="auto">
                    <ns3:xfrm>
                      <ns3:off x="0" y="0"/>
                      <ns3:ext cx="6124575" cy="3474720"/>
                    </ns3:xfrm>
                    <ns3:prstGeom prst="rect">
                      <ns3:avLst/>
                    </ns3:prstGeom>
                  </ns4:spPr>
                </ns4:pic>
              </ns3:graphicData>
            </ns3:graphic>
          </wp:inline>
        </w:drawing>
      </w:r>
    </w:p>
    <w:p>
      <w:pPr>
        <w:keepLines/>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before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Four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Layeghy and Portmann approach the question through explanation rather than through scores alone, evaluating machine-learned detectors across domains and comparing what feature attribution reports each of them learned [15]. Verkerken et al. carry the same measurement to unsupervised detection, where four anomaly-based methods that score well on one corpus lose 25.63% of accuracy on average when they are moved to a second, related one [16].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[17], and security is a domain where the stakes of the confusion are highest. Arp et al. catalogue the recurring pitfalls of security ML (sampling bias, spurious correlations, data snooping) and find them endemic in published work [18]. Two lines are directly upstream of ours. TESSERACT demonstrated that ignoring temporal structure inflates malware-classification results, and argued for chronologically consistent splits as a validity requirement rather than a robustness extra [19]. Closer to network flows, D'hooge et al. first measured how twelve supervised algorithms generalize from CIC-IDS2017 to CSE-CIC-IDS2018 [20]. The same group then established the contaminating effect of metadata features in NIDS models: the destination port alone separates ten state-of-the-art IDS datasets at 70–100% accuracy, so any model given that feature learns a dataset artefact rather than traffic behaviour [21]. Our audit extends this programme along three axes: from metadata to positional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that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[22].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[23].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[24], and a detector whose confidence is miscalibrated cannot drive thresholded automation; temperature scaling [24] and selective classification with a reject option [25, 26] are the standard correctives, and uncertainty quantification is increasingly argued to be a first-class requirement for trustworthy NIDS [27]. Class imbalance interacts with all of this. Under the natural distribution of GeNIS (7.4% benign traffic at the 60-second interval), accuracy is close to vacuous and metrics such as macro-F1 and the Matthews correlation coefficient are the informative ones [28]. Finally, the tabular-learning literature gives strong prior reason to include tree ensembles alongside deep detectors. Gradient-boosted trees remain consistently competitive or superior on tabular data [29, 30], with attention-based architectures such as the FT-Transformer as the strongest deep contenders [31].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[32].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further study from the same laboratory that uses the corpus for machine unlearning [33], a goal orthogonal to benchmarking. No group independent of the corpus authors has published on GeNIS, which is the position this paper is written into.</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 It carries the studies whose protocol we could read in full and score on all eight; the two closest antecedents in genre, the inter-corpus benchmark of [20] and the cross-domain evaluation of [15], are discussed in Sections 2.1 and 2.2 instead.</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keepLines/>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[21]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Verkerken et al. [16]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[19]</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[34]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wp:inline distT="0" distB="0" distL="0" distR="0">
            <wp:extent cx="5267325" cy="3429000"/>
            <wp:effectExtent t="0" r="0" b="0" l="0"/>
            <wp:docPr id="1" name="" descr="" title=""/>
            <wp:cNvGraphicFramePr>
              <ns3:graphicFrameLocks noChangeAspect="1"/>
            </wp:cNvGraphicFramePr>
            <ns3:graphic>
              <ns3:graphicData uri="http://schemas.openxmlformats.org/drawingml/2006/picture">
                <ns4:pic>
                  <ns4:nvPicPr>
                    <ns4:cNvPr id="0" name="" descr=""/>
                    <ns4:cNvPicPr>
                      <ns3:picLocks noChangeAspect="1" noChangeArrowheads="1"/>
                    </ns4:cNvPicPr>
                  </ns4:nvPicPr>
                  <ns4:blipFill>
                    <ns3:blip r:embed="rId9" cstate="none"/>
                    <ns3:srcRect/>
                    <ns3:stretch>
                      <ns3:fillRect/>
                    </ns3:stretch>
                  </ns4:blipFill>
                  <ns4:spPr bwMode="auto">
                    <ns3:xfrm>
                      <ns3:off x="0" y="0"/>
                      <ns3:ext cx="5267325" cy="3429000"/>
                    </ns3:xfrm>
                    <ns3:prstGeom prst="rect">
                      <ns3:avLst/>
                    </ns3:prstGeom>
                  </ns4:spPr>
                </ns4:pic>
              </ns3:graphicData>
            </ns3:graphic>
          </wp:inline>
        </w:drawing>
      </w:r>
    </w:p>
    <w:p>
      <w:pPr>
        <w:keepLines/>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87.26%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which fixes the resolution of every false-positive rate in this paper (Section 4.5).</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with the code of Section 11, as </w:t>
      </w:r>
      <w:r>
        <w:rPr>
          <w:rFonts w:ascii="Consolas" w:cs="Consolas" w:eastAsia="Times New Roman" w:hAnsi="Consolas"/>
          <w:b w:val="false"/>
          <w:bCs w:val="false"/>
          <w:i w:val="false"/>
          <w:iCs w:val="false"/>
          <w:sz w:val="22"/>
          <w:szCs w:val="22"/>
        </w:rPr>
        <w:t xml:space="preserve">experiments/verify_4preprocessed.py</w:t>
      </w:r>
      <w:r>
        <w:rPr>
          <w:rFonts w:ascii="Times New Roman" w:cs="Times New Roman" w:eastAsia="Times New Roman" w:hAnsi="Times New Roman"/>
          <w:b w:val="false"/>
          <w:bCs w:val="false"/>
          <w:i w:val="false"/>
          <w:iCs w:val="false"/>
          <w:sz w:val="22"/>
          <w:szCs w:val="22"/>
        </w:rPr>
        <w:t xml:space="preserv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all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global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wp:inline distT="0" distB="0" distL="0" distR="0">
            <wp:extent cx="6124575" cy="2381250"/>
            <wp:effectExtent t="0" r="0" b="0" l="0"/>
            <wp:docPr id="1" name="" descr="" title=""/>
            <wp:cNvGraphicFramePr>
              <ns3:graphicFrameLocks noChangeAspect="1"/>
            </wp:cNvGraphicFramePr>
            <ns3:graphic>
              <ns3:graphicData uri="http://schemas.openxmlformats.org/drawingml/2006/picture">
                <ns4:pic>
                  <ns4:nvPicPr>
                    <ns4:cNvPr id="0" name="" descr=""/>
                    <ns4:cNvPicPr>
                      <ns3:picLocks noChangeAspect="1" noChangeArrowheads="1"/>
                    </ns4:cNvPicPr>
                  </ns4:nvPicPr>
                  <ns4:blipFill>
                    <ns3:blip r:embed="rId10" cstate="none"/>
                    <ns3:srcRect/>
                    <ns3:stretch>
                      <ns3:fillRect/>
                    </ns3:stretch>
                  </ns4:blipFill>
                  <ns4:spPr bwMode="auto">
                    <ns3:xfrm>
                      <ns3:off x="0" y="0"/>
                      <ns3:ext cx="6124575" cy="2381250"/>
                    </ns3:xfrm>
                    <ns3:prstGeom prst="rect">
                      <ns3:avLst/>
                    </ns3:prstGeom>
                  </ns4:spPr>
                </ns4:pic>
              </ns3:graphicData>
            </ns3:graphic>
          </wp:inline>
        </w:drawing>
      </w:r>
    </w:p>
    <w:p>
      <w:pPr>
        <w:keepLines/>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of its own class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The narrower question it answers is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wp:inline distT="0" distB="0" distL="0" distR="0">
            <wp:extent cx="6124575" cy="3438144"/>
            <wp:effectExtent t="0" r="0" b="0" l="0"/>
            <wp:docPr id="33" name="" descr="" title=""/>
            <wp:cNvGraphicFramePr>
              <ns3:graphicFrameLocks noChangeAspect="1"/>
            </wp:cNvGraphicFramePr>
            <ns3:graphic>
              <ns3:graphicData uri="http://schemas.openxmlformats.org/drawingml/2006/picture">
                <ns4:pic>
                  <ns4:nvPicPr>
                    <ns4:cNvPr id="0" name="" descr=""/>
                    <ns4:cNvPicPr>
                      <ns3:picLocks noChangeAspect="1" noChangeArrowheads="1"/>
                    </ns4:cNvPicPr>
                  </ns4:nvPicPr>
                  <ns4:blipFill>
                    <ns3:blip r:embed="rId26" cstate="none"/>
                    <ns3:srcRect/>
                    <ns3:stretch>
                      <ns3:fillRect/>
                    </ns3:stretch>
                  </ns4:blipFill>
                  <ns4:spPr bwMode="auto">
                    <ns3:xfrm>
                      <ns3:off x="0" y="0"/>
                      <ns3:ext cx="6124575" cy="3438144"/>
                    </ns3:xfrm>
                    <ns3:prstGeom prst="rect">
                      <ns3:avLst/>
                    </ns3:prstGeom>
                  </ns4:spPr>
                </ns4:pic>
              </ns3:graphicData>
            </ns3:graphic>
          </wp:inline>
        </w:drawing>
      </w:r>
    </w:p>
    <w:p>
      <w:pPr>
        <w:keepLines/>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cuts nothing on this axis, since a class falls entirely inside one window, which is what makes it degenerate here and why we report it as a property of the corpus rather than use it as a protocol. Its two rows are the only place where the nine classes do not read alike, so both are drawn.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leakage audit</w:t>
      </w:r>
    </w:p>
    <w:p>
      <w:pPr>
        <w:spacing w:after="120" w:line="276"/>
        <w:jc w:val="both"/>
      </w:pPr>
      <w:r>
        <w:rPr>
          <w:rFonts w:ascii="Times New Roman" w:cs="Times New Roman" w:eastAsia="Times New Roman" w:hAnsi="Times New Roman"/>
          <w:b/>
          <w:bCs/>
          <w:i w:val="false"/>
          <w:iCs w:val="false"/>
          <w:sz w:val="22"/>
          <w:szCs w:val="22"/>
        </w:rPr>
        <w:t xml:space="preserve">What leakage-audited means in this paper. </w:t>
      </w:r>
      <w:r>
        <w:rPr>
          <w:rFonts w:ascii="Times New Roman" w:cs="Times New Roman" w:eastAsia="Times New Roman" w:hAnsi="Times New Roman"/>
          <w:b w:val="false"/>
          <w:bCs w:val="false"/>
          <w:i w:val="false"/>
          <w:iCs w:val="false"/>
          <w:sz w:val="22"/>
          <w:szCs w:val="22"/>
        </w:rPr>
        <w:t xml:space="preserve">The term names a procedure that was applied, not a property the corpus has been shown to possess. Four tests decide the fate of a column here, and each has a blind spot that another covers. Identifier and topology columns are excluded by name, positional columns are excluded by name, a transferability rule excludes behavioural columns whose predictive power does not survive a change of protocol, and a capture-file test that reads no label excludes columns identifying the file a flow was read from. Together they are an explicit multi-step audit, and that is the whole of the claim. It is not a claim that every form of leakage has been covered, nor that GeNIS is certified free of leakage. Two columns show both sides of that. IdleTime passed the first three tests and was caught by the fourth, which we added late enough that the audited condition had to be retrained without it, and Section 9 reports what the omission cost. Offset is returned by no test at all and yet separates benign from attack traffic at an AUC of 0.9379, so we retain it and record the anomaly rather than exclude on suspicion.</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alone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temporal</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stratified</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and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the threshold is the part of this rule that travels least well. The nested audit below returns the eight excluded columns as the eight lowest ratios, separated from the rest by the widest gap in that distribution, whereas a literal 0.50 cut excludes nothing under that design. What identifies a shortcut is therefore its rank and the gap that isolates it, and 0.50 is the number this campaign cut at. A reader meeting it here should also know that Section 9 retrains every detector under five alternative blacklists and reports what the choice costs. The audit is run over all behavioural features, not a shortlist. Section 6.2 shows why any shortlist derived from attribution scores would have been empty. Algorithm 1 states the procedure exactly as implemented, and the paragraph that follows it gives the settings of the probe.</w:t>
      </w:r>
    </w:p>
    <w:p>
      <w:pPr>
        <w:keepNext/>
        <w:keepLines/>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audit of Section 4.3, as implemented. Lines 3 to 6 are the transferability rule; line 7 is the capture-file test, which reads no label and catches what a ratio between protocols cannot.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11 and 12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c       the capture file each flow was read from</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ident(f)   := f takes at most two values in every file of c</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and those values order the files in time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blacklist := P, every f of B with flag(f) or ident(f)</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10                                                  # 4 + 8 + 1 = 13</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11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12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13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and 0.922 under the stratified protocol on validation and on test,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and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The second is what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w:t>
      </w:r>
      <w:r>
        <w:rPr>
          <w:rFonts w:ascii="Consolas" w:cs="Consolas" w:eastAsia="Times New Roman" w:hAnsi="Consolas"/>
          <w:b w:val="false"/>
          <w:bCs w:val="false"/>
          <w:i w:val="false"/>
          <w:iCs w:val="false"/>
          <w:sz w:val="22"/>
          <w:szCs w:val="22"/>
        </w:rPr>
        <w:t xml:space="preserve">experiments/e4a/verify_nested_blacklist.py</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above-chance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[21].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but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Taken alone, the rule is a schedule-dependent shortcut test,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eight behavioural columns excluded by the rule, and one column excluded by neither, gives the thirteen of Table 3. Under the chance-corrected variant the behavioural count rises to thirteen and the blacklist to eighteen; that thirteen counts behavioural columns, and is not the thirteen of the list as a whole. Every count in this paper is one of those two, and Section 9 reports what separates them.</w:t>
      </w:r>
    </w:p>
    <w:p>
      <w:pPr>
        <w:spacing w:after="120" w:line="276"/>
        <w:jc w:val="both"/>
      </w:pPr>
      <w:r>
        <w:rPr>
          <w:rFonts w:ascii="Times New Roman" w:cs="Times New Roman" w:eastAsia="Times New Roman" w:hAnsi="Times New Roman"/>
          <w:b/>
          <w:bCs/>
          <w:i w:val="false"/>
          <w:iCs w:val="false"/>
          <w:sz w:val="22"/>
          <w:szCs w:val="22"/>
        </w:rPr>
        <w:t xml:space="preserve">A third criterion, and why the first two could not have found it. </w:t>
      </w:r>
      <w:r>
        <w:rPr>
          <w:rFonts w:ascii="Times New Roman" w:cs="Times New Roman" w:eastAsia="Times New Roman" w:hAnsi="Times New Roman"/>
          <w:b w:val="false"/>
          <w:bCs w:val="false"/>
          <w:i w:val="false"/>
          <w:iCs w:val="false"/>
          <w:sz w:val="22"/>
          <w:szCs w:val="22"/>
        </w:rPr>
        <w:t xml:space="preserve">One column is on the list for neither reason, and it is the one this audit came closest to missing.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takes one or two distinct values per capture file, and those values are absolute Unix timestamps: it identifies the file a flow was read from rather than anything the flow did. A decision tree given that column alone separates benign from attack traffic at an AUC of 1.0000. Every diagnostic in this paper passes it. Its transferability is 0.94, well clear of the 0.50 threshold. Under the nested audit of Section 4.3 it is 1.02, so single-feature accuracy is not lower under the temporal protocol but marginally higher. The residual audit of Section 6.2 ranks it in the middle of the retained columns. Attribution, meanwhile, gives it 0.2279, the highest permutation importance of any column in the corpus. The reason the rule misses it is structural and not accidental. A criterion built on the ratio between two protocols cannot see a leak that is frozen within each capture group, because such a leak is equally available on both sides of any split of that group. What gives the column away is not its association with the label but its values, and the test that finds it reads no labels at all — a column that is constant within every capture file, and whose values order those files in time, is a file identifier. We add that test to the procedure, and applied to all 63 behavioural candidates it returns this column and no other.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the one further column whose name suggests a position in the capture, is not constant within any file, and its rank correlation with capture order reaches only 0.13 at its highest across the eleven files. The test therefore does not return it and we do not exclude it, although on its own it separates the two classes of traffic well (binary AUC 0.9379 against a nine-class accuracy of 0.0601). Section 9 records that as an anomaly we have not resolved.</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on the validation metric it optimises; Section 6.5 shows that this guarantee does not carry over to the test partition. The budget is a declared time cap of 900 s per model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Seven detectors make up this group. They are a majority-class baseline, multinomial logistic regression, Gaussian naive Bayes and k-nearest neighbours, together with a random forest of 200 trees, XGBoost with 300 trees of depth 8 and histogram splits, and LightGBM with 300 trees and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exactly as published in an earlier comparative study [7]: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[31].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with layer widths 64-32-16-32-64 is trained on benign flows only, and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because its O(n²) training is infeasible on 203 292 training flows within an equal budget, and because logistic regression already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first campaign comprises 154 training runs. The audited condition was then retrained in full, over 180 further runs, once the capture-file test added its thirteenth column (Section 9), and it is that repeat which every table below reports. Every number is reproducible from the released artefact, though not equally on both sides of it. For the first campaign the per-flow probability matrices are archived, so its statistics can be re-derived from the predictions. The repeat releases the derived statistics rather than the predictions, the pairwise McNemar values before and after correction, the bootstrap intervals, the calibration errors and the fitted temperatures among them, so every figure and table recomputes from experiments/e8 while the statistics themselves rest on the runs as recorded.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LightGBM reaches macro-F1 1.0000 ± 0.0001 across five seeds, and XGBoost, random forest and the FT-Transformer 0.9999 ± 0.0001, and nine of the eleven detectors exceed 0.99. McNemar tests with Holm correction confirm what the point estimates suggest (Figure 9). The majority baseline predicts a constant, so it takes no part in the pairwise tests and the ten remaining detectors give 45 pairs. Of those, 11 are not significantly different at α = 0.05, and these include every pair among {XGBoost, LightGBM, random forest, FT-Transformer} as well as logistic regression against the RNN,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0.4464 with a 91.5% false-positive rate (4 604 of 5 030 benign flows misclassified), confirming that the near-perfect scores are a property of the corpus and the strong models, not of the metric. Figure 5 shows where the residual difficulty sits. For every strong detector the per-class F1 stays above 0.979 on all nine classes, the lowest being k-NN on benign traffic at 0.9796 and the RNN on bruteforce-ssh at 0.9822, and naive Bayes is the only model with class-level failures. Its worst class is bruteforce-ssh at 0.002, and its benign F1 of 0.156 is what the 91.5% false-positive rate above measures from the operational side.</w:t>
      </w:r>
    </w:p>
    <w:p>
      <w:pPr>
        <w:keepNext/>
        <w:spacing w:after="80" w:before="200"/>
        <w:jc w:val="center"/>
      </w:pPr>
      <w:r>
        <w:drawing>
          <wp:inline distT="0" distB="0" distL="0" distR="0">
            <wp:extent cx="6124575" cy="3333750"/>
            <wp:effectExtent t="0" r="0" b="0" l="0"/>
            <wp:docPr id="1" name="" descr="" title=""/>
            <wp:cNvGraphicFramePr>
              <ns3:graphicFrameLocks noChangeAspect="1"/>
            </wp:cNvGraphicFramePr>
            <ns3:graphic>
              <ns3:graphicData uri="http://schemas.openxmlformats.org/drawingml/2006/picture">
                <ns4:pic>
                  <ns4:nvPicPr>
                    <ns4:cNvPr id="0" name="" descr=""/>
                    <ns4:cNvPicPr>
                      <ns3:picLocks noChangeAspect="1" noChangeArrowheads="1"/>
                    </ns4:cNvPicPr>
                  </ns4:nvPicPr>
                  <ns4:blipFill>
                    <ns3:blip r:embed="rId11" cstate="none"/>
                    <ns3:srcRect/>
                    <ns3:stretch>
                      <ns3:fillRect/>
                    </ns3:stretch>
                  </ns4:blipFill>
                  <ns4:spPr bwMode="auto">
                    <ns3:xfrm>
                      <ns3:off x="0" y="0"/>
                      <ns3:ext cx="6124575" cy="3333750"/>
                    </ns3:xfrm>
                    <ns3:prstGeom prst="rect">
                      <ns3:avLst/>
                    </ns3:prstGeom>
                  </ns4:spPr>
                </ns4:pic>
              </ns3:graphicData>
            </ns3:graphic>
          </wp:inline>
        </w:drawing>
      </w:r>
    </w:p>
    <w:p>
      <w:pPr>
        <w:keepLines/>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The majority baseline is not plotted; nine of the ten detectors shown are uniformly strong across all nine classes, the lowest single cell being 0.9796; only naive Bayes fails, and it fails on most classes at once, worst on bruteforce-ssh.</w:t>
      </w:r>
    </w:p>
    <w:p>
      <w:pPr>
        <w:keepNext/>
        <w:keepLines/>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0.0398</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0.9973</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 ± 0.0011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 ± 0.0046</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0.4771</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 ± 0.0037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0.9906</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0.2386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 ± 0.0012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1.7097</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 ± 0.0145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0.6142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91.5308</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[19]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retained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numerically identical columns (all 15 pairs), an undocumented redundancy in the released files that we report to the corpus authors. Figure 6 plots the two quantities against each other.</w:t>
      </w:r>
    </w:p>
    <w:p>
      <w:pPr>
        <w:keepNext/>
        <w:spacing w:after="80" w:before="200"/>
        <w:jc w:val="center"/>
      </w:pPr>
      <w:r>
        <w:drawing>
          <wp:inline distT="0" distB="0" distL="0" distR="0">
            <wp:extent cx="5267325" cy="4152900"/>
            <wp:effectExtent t="0" r="0" b="0" l="0"/>
            <wp:docPr id="1" name="" descr="" title=""/>
            <wp:cNvGraphicFramePr>
              <ns3:graphicFrameLocks noChangeAspect="1"/>
            </wp:cNvGraphicFramePr>
            <ns3:graphic>
              <ns3:graphicData uri="http://schemas.openxmlformats.org/drawingml/2006/picture">
                <ns4:pic>
                  <ns4:nvPicPr>
                    <ns4:cNvPr id="0" name="" descr=""/>
                    <ns4:cNvPicPr>
                      <ns3:picLocks noChangeAspect="1" noChangeArrowheads="1"/>
                    </ns4:cNvPicPr>
                  </ns4:nvPicPr>
                  <ns4:blipFill>
                    <ns3:blip r:embed="rId12" cstate="none"/>
                    <ns3:srcRect/>
                    <ns3:stretch>
                      <ns3:fillRect/>
                    </ns3:stretch>
                  </ns4:blipFill>
                  <ns4:spPr bwMode="auto">
                    <ns3:xfrm>
                      <ns3:off x="0" y="0"/>
                      <ns3:ext cx="5267325" cy="4152900"/>
                    </ns3:xfrm>
                    <ns3:prstGeom prst="rect">
                      <ns3:avLst/>
                    </ns3:prstGeom>
                  </ns4:spPr>
                </ns4:pic>
              </ns3:graphicData>
            </ns3:graphic>
          </wp:inline>
        </w:drawing>
      </w:r>
    </w:p>
    <w:p>
      <w:pPr>
        <w:keepLines/>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drawn apart because the capture-file test excludes it where neither of the other two criteria reaches it, carries an importance three orders of magnitude larger and yet appears far less predictive on its own — on the nine-class task. On the binary task it separates benign from attack traffic perfectly (AUC 1.0000), because it is a capture-file identifier and the two capture blocks are disjoint. Its vertical position here understates it, and Section 4.3 gives the measurement.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[35, 36].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invoked above for the duplicated columns [35, 36],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wp:inline distT="0" distB="0" distL="0" distR="0">
            <wp:extent cx="4591050" cy="3657600"/>
            <wp:effectExtent t="0" r="0" b="0" l="0"/>
            <wp:docPr id="1" name="" descr="" title=""/>
            <wp:cNvGraphicFramePr>
              <ns3:graphicFrameLocks noChangeAspect="1"/>
            </wp:cNvGraphicFramePr>
            <ns3:graphic>
              <ns3:graphicData uri="http://schemas.openxmlformats.org/drawingml/2006/picture">
                <ns4:pic>
                  <ns4:nvPicPr>
                    <ns4:cNvPr id="0" name="" descr=""/>
                    <ns4:cNvPicPr>
                      <ns3:picLocks noChangeAspect="1" noChangeArrowheads="1"/>
                    </ns4:cNvPicPr>
                  </ns4:nvPicPr>
                  <ns4:blipFill>
                    <ns3:blip r:embed="rId13" cstate="none"/>
                    <ns3:srcRect/>
                    <ns3:stretch>
                      <ns3:fillRect/>
                    </ns3:stretch>
                  </ns4:blipFill>
                  <ns4:spPr bwMode="auto">
                    <ns3:xfrm>
                      <ns3:off x="0" y="0"/>
                      <ns3:ext cx="4591050" cy="3657600"/>
                    </ns3:xfrm>
                    <ns3:prstGeom prst="rect">
                      <ns3:avLst/>
                    </ns3:prstGeom>
                  </ns4:spPr>
                </ns4:pic>
              </ns3:graphicData>
            </ns3:graphic>
          </wp:inline>
        </w:drawing>
      </w:r>
    </w:p>
    <w:p>
      <w:pPr>
        <w:keepLines/>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keepLines/>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13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and the identifier column (id.) by the capture-file test of the same section, which neither of the other two criteria reaches. The quantities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 The identifier column carries the highest permutation importance of any column in the corpus and the highest transferability in this table, which is the whole point: neither criterion could have reached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IdleTime</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id.</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0.2279</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0.621</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wp:inline distT="0" distB="0" distL="0" distR="0">
            <wp:extent cx="6124575" cy="3154876"/>
            <wp:effectExtent t="0" r="0" b="0" l="0"/>
            <wp:docPr id="1" name="" descr="" title=""/>
            <wp:cNvGraphicFramePr>
              <ns3:graphicFrameLocks noChangeAspect="1"/>
            </wp:cNvGraphicFramePr>
            <ns3:graphic>
              <ns3:graphicData uri="http://schemas.openxmlformats.org/drawingml/2006/picture">
                <ns4:pic>
                  <ns4:nvPicPr>
                    <ns4:cNvPr id="0" name="" descr=""/>
                    <ns4:cNvPicPr>
                      <ns3:picLocks noChangeAspect="1" noChangeArrowheads="1"/>
                    </ns4:cNvPicPr>
                  </ns4:nvPicPr>
                  <ns4:blipFill>
                    <ns3:blip r:embed="rId14" cstate="none"/>
                    <ns3:srcRect/>
                    <ns3:stretch>
                      <ns3:fillRect/>
                    </ns3:stretch>
                  </ns4:blipFill>
                  <ns4:spPr bwMode="auto">
                    <ns3:xfrm>
                      <ns3:off x="0" y="0"/>
                      <ns3:ext cx="6124575" cy="3154876"/>
                    </ns3:xfrm>
                    <ns3:prstGeom prst="rect">
                      <ns3:avLst/>
                    </ns3:prstGeom>
                  </ns4:spPr>
                </ns4:pic>
              </ns3:graphicData>
            </ns3:graphic>
          </wp:inline>
        </w:drawing>
      </w:r>
    </w:p>
    <w:p>
      <w:pPr>
        <w:keepLines/>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IdleTime, at 0.94, is among the blue: this rule retains it, and the capture-file test of Section 4.3 is what excludes it. Under τ the gap between 0.49 and 0.54 places the threshold between two clusters; under τ* that gap narrows to 0.017 (Section 6.2 and Table 15).</w:t>
      </w:r>
    </w:p>
    <w:p>
      <w:pPr>
        <w:keepNext/>
        <w:spacing w:after="80" w:before="200"/>
        <w:jc w:val="center"/>
      </w:pPr>
      <w:r>
        <w:drawing>
          <wp:inline distT="0" distB="0" distL="0" distR="0">
            <wp:extent cx="3880866" cy="4316730"/>
            <wp:effectExtent t="0" r="0" b="0" l="0"/>
            <wp:docPr id="1" name="" descr="" title=""/>
            <wp:cNvGraphicFramePr>
              <ns3:graphicFrameLocks noChangeAspect="1"/>
            </wp:cNvGraphicFramePr>
            <ns3:graphic>
              <ns3:graphicData uri="http://schemas.openxmlformats.org/drawingml/2006/picture">
                <ns4:pic>
                  <ns4:nvPicPr>
                    <ns4:cNvPr id="0" name="" descr=""/>
                    <ns4:cNvPicPr>
                      <ns3:picLocks noChangeAspect="1" noChangeArrowheads="1"/>
                    </ns4:cNvPicPr>
                  </ns4:nvPicPr>
                  <ns4:blipFill>
                    <ns3:blip r:embed="rId15" cstate="none"/>
                    <ns3:srcRect/>
                    <ns3:stretch>
                      <ns3:fillRect/>
                    </ns3:stretch>
                  </ns4:blipFill>
                  <ns4:spPr bwMode="auto">
                    <ns3:xfrm>
                      <ns3:off x="0" y="0"/>
                      <ns3:ext cx="3880866" cy="4316730"/>
                    </ns3:xfrm>
                    <ns3:prstGeom prst="rect">
                      <ns3:avLst/>
                    </ns3:prstGeom>
                  </ns4:spPr>
                </ns4:pic>
              </ns3:graphicData>
            </ns3:graphic>
          </wp:inline>
        </w:drawing>
      </w:r>
    </w:p>
    <w:p>
      <w:pPr>
        <w:keepLines/>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The majority baseline takes no part, so the ten remaining detectors give 45 pairs, eleven of which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features the name list and the transferability rule return costs almost nothing under the stratified protocol: XGBoost, LightGBM and random forest are unchanged to four decimals, and the largest loss among the eleven detectors is 0.0018 (k-NN). The recurrent and convolutional models in fact improve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for the wrong reason.</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0.9901, followed by logistic regression (0.9881), the CNN (0.9848) and the RNN (0.9837); the DNN follows at 0.9773, and XGBoost and LightGBM fall to 0.9666 and 0.9649, ahead only of k-NN at 0.9574 and random forest at 0.9530. The gradient-boosted models that were unbeatable under a random split fell behind every neural detector and the linear model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inside the leading four span 0.0064, from the FT-Transformer down to the RNN, which is the range in which the five-seed dispersion of the stratified protocol already sits, so none of those four should be read as established above another. What lies outside that range is the distance to the boosted ensembles: 0.0235 from the leader to XGBoost, five times the largest seed dispersion in Table 2 outside naive Bayes. What the column does support is the coarser and more robust observation that the two boosted ensembles, unbeatable under a random split, are no longer at the top once the protocol changes.</w:t>
      </w:r>
    </w:p>
    <w:p>
      <w:pPr>
        <w:keepNext/>
        <w:spacing w:after="80" w:before="200"/>
        <w:jc w:val="center"/>
      </w:pPr>
      <w:r>
        <w:drawing>
          <wp:inline distT="0" distB="0" distL="0" distR="0">
            <wp:extent cx="6124575" cy="2609850"/>
            <wp:effectExtent t="0" r="0" b="0" l="0"/>
            <wp:docPr id="1" name="" descr="" title=""/>
            <wp:cNvGraphicFramePr>
              <ns3:graphicFrameLocks noChangeAspect="1"/>
            </wp:cNvGraphicFramePr>
            <ns3:graphic>
              <ns3:graphicData uri="http://schemas.openxmlformats.org/drawingml/2006/picture">
                <ns4:pic>
                  <ns4:nvPicPr>
                    <ns4:cNvPr id="0" name="" descr=""/>
                    <ns4:cNvPicPr>
                      <ns3:picLocks noChangeAspect="1" noChangeArrowheads="1"/>
                    </ns4:cNvPicPr>
                  </ns4:nvPicPr>
                  <ns4:blipFill>
                    <ns3:blip r:embed="rId16" cstate="none"/>
                    <ns3:srcRect/>
                    <ns3:stretch>
                      <ns3:fillRect/>
                    </ns3:stretch>
                  </ns4:blipFill>
                  <ns4:spPr bwMode="auto">
                    <ns3:xfrm>
                      <ns3:off x="0" y="0"/>
                      <ns3:ext cx="6124575" cy="2609850"/>
                    </ns3:xfrm>
                    <ns3:prstGeom prst="rect">
                      <ns3:avLst/>
                    </ns3:prstGeom>
                  </ns4:spPr>
                </ns4:pic>
              </ns3:graphicData>
            </ns3:graphic>
          </wp:inline>
        </w:drawing>
      </w:r>
    </w:p>
    <w:p>
      <w:pPr>
        <w:keepLines/>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5-point band that a 0–1 axis would hide. Panel (b) shows the weak baselines at true scale.</w:t>
      </w:r>
    </w:p>
    <w:p>
      <w:pPr>
        <w:keepNext/>
        <w:spacing w:after="80" w:before="200"/>
        <w:jc w:val="center"/>
      </w:pPr>
      <w:r>
        <w:drawing>
          <wp:inline distT="0" distB="0" distL="0" distR="0">
            <wp:extent cx="4781550" cy="2781300"/>
            <wp:effectExtent t="0" r="0" b="0" l="0"/>
            <wp:docPr id="1" name="" descr="" title=""/>
            <wp:cNvGraphicFramePr>
              <ns3:graphicFrameLocks noChangeAspect="1"/>
            </wp:cNvGraphicFramePr>
            <ns3:graphic>
              <ns3:graphicData uri="http://schemas.openxmlformats.org/drawingml/2006/picture">
                <ns4:pic>
                  <ns4:nvPicPr>
                    <ns4:cNvPr id="0" name="" descr=""/>
                    <ns4:cNvPicPr>
                      <ns3:picLocks noChangeAspect="1" noChangeArrowheads="1"/>
                    </ns4:cNvPicPr>
                  </ns4:nvPicPr>
                  <ns4:blipFill>
                    <ns3:blip r:embed="rId17" cstate="none"/>
                    <ns3:srcRect/>
                    <ns3:stretch>
                      <ns3:fillRect/>
                    </ns3:stretch>
                  </ns4:blipFill>
                  <ns4:spPr bwMode="auto">
                    <ns3:xfrm>
                      <ns3:off x="0" y="0"/>
                      <ns3:ext cx="4781550" cy="2781300"/>
                    </ns3:xfrm>
                    <ns3:prstGeom prst="rect">
                      <ns3:avLst/>
                    </ns3:prstGeom>
                  </ns4:spPr>
                </ns4:pic>
              </ns3:graphicData>
            </ns3:graphic>
          </wp:inline>
        </w:drawing>
      </w:r>
    </w:p>
    <w:p>
      <w:pPr>
        <w:keepLines/>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some detectors depend on it, and depth does not predict which</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across their forty runs neither falls below 0.9998, with a single exception — LightGBM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0.0143% at worst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0.992.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subsection first documented was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Six further detectors, and what they settle. </w:t>
      </w:r>
      <w:r>
        <w:rPr>
          <w:rFonts w:ascii="Times New Roman" w:cs="Times New Roman" w:eastAsia="Times New Roman" w:hAnsi="Times New Roman"/>
          <w:b w:val="false"/>
          <w:bCs w:val="false"/>
          <w:i w:val="false"/>
          <w:iCs w:val="false"/>
          <w:sz w:val="22"/>
          <w:szCs w:val="22"/>
        </w:rPr>
        <w:t xml:space="preserve">That study covered three detectors when this subsection was written and now covers nine. Two of the six added hold at every interval, k-NN never below 0.9931 and random forest never below 0.9998, so the stable group is not the boosted ensembles alone. The RNN takes one seed of three to 0.9163 at 10 s and stays above 0.9916 otherwise, which is the shape of LightGBM's failure and at the same interval. The CNN and logistic regression do what the DNN does and go further. One falls from 0.9942 at 60 s to 0.7388 at 30 s and 0.4620 at 5 s, the other from 0.9963 to 0.6076 and then 0.3831 at 10 s, both on all three seeds rather than on one. Naive Bayes moves the other way, from 0.4464 at 60 s to 0.7825 at 5 s, and we report that without offering a mechanism for it. What separates the two groups is not depth. k-NN is distance-based and holds, logistic regression is linear and does not.</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spans 0.0002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Bin construction was therefore the candidate, and it is wrong. It can produce this shape in isolation. With the split held fixed, a rare class at the same 0.23% share separated by an interval one thousandth of its axis, and bin construction at the 10-second coverage, sixteen seeds spread its F1 over 0.45 in discrete groups rather than around a mean, while raising the subsample above the training size returns the same value for all sixteen. On GeNIS it is not what happens. We refitted the same five splits at 10 s with the subsample raised above the training size, which makes the grid deterministic and changes nothing else, alongside a control refit of seed 1 under the original setting that reproduces its published macro-F1 to the last digit. Nothing is removed. The failure moves. Seed 3 recovers, from 0.8374 to 1.0000, and seeds 2 and 4 collapse in its place, at 0.4193 and 0.8106. The worse of the two falls further than the run we set out to explain, to a binary ROC-AUC of 0.5143 and a false-positive rate of 0.9571, with three classes at exactly zero. Neither new failure shows the lengthened fit that marked the published one. That eliminates the candidate. Bin sampling is one source of seed sensitivity among others, removing it removes nothing, and the fix we would have recommended had we stopped at the synthetic reproduction would have made this corpus worse. What remains is that at this interval the fit itself is unstable across split composition, and we have not localised that further.</w:t>
      </w:r>
    </w:p>
    <w:p>
      <w:pPr>
        <w:keepNext/>
        <w:spacing w:after="80" w:before="200"/>
        <w:jc w:val="center"/>
      </w:pPr>
      <w:r>
        <w:drawing>
          <wp:inline distT="0" distB="0" distL="0" distR="0">
            <wp:extent cx="4162425" cy="2914650"/>
            <wp:effectExtent t="0" r="0" b="0" l="0"/>
            <wp:docPr id="1" name="" descr="" title=""/>
            <wp:cNvGraphicFramePr>
              <ns3:graphicFrameLocks noChangeAspect="1"/>
            </wp:cNvGraphicFramePr>
            <ns3:graphic>
              <ns3:graphicData uri="http://schemas.openxmlformats.org/drawingml/2006/picture">
                <ns4:pic>
                  <ns4:nvPicPr>
                    <ns4:cNvPr id="0" name="" descr=""/>
                    <ns4:cNvPicPr>
                      <ns3:picLocks noChangeAspect="1" noChangeArrowheads="1"/>
                    </ns4:cNvPicPr>
                  </ns4:nvPicPr>
                  <ns4:blipFill>
                    <ns3:blip r:embed="rId18" cstate="none"/>
                    <ns3:srcRect/>
                    <ns3:stretch>
                      <ns3:fillRect/>
                    </ns3:stretch>
                  </ns4:blipFill>
                  <ns4:spPr bwMode="auto">
                    <ns3:xfrm>
                      <ns3:off x="0" y="0"/>
                      <ns3:ext cx="4162425" cy="2914650"/>
                    </ns3:xfrm>
                    <ns3:prstGeom prst="rect">
                      <ns3:avLst/>
                    </ns3:prstGeom>
                  </ns4:spPr>
                </ns4:pic>
              </ns3:graphicData>
            </ns3:graphic>
          </wp:inline>
        </w:drawing>
      </w:r>
    </w:p>
    <w:p>
      <w:pPr>
        <w:keepLines/>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keepLines/>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as published over 55 columns and not re-run under the correction of Section 9,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0.0015 for every model except logistic regression and naive Bayes, and for the eight of them temperature scaling moves it by less than 0.001 in either direction. Logistic regression is the one the corrected blacklist moved: its stratified error rises from 0.0003 to 0.0084 once the identifier column is withheld, and scaling brings it back to 0.0016. Naive Bayes is the exception in both respects. It starts at 0.1419 and temperature scaling makes it worse (0.2240),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no longer sit at the floor of the grid as they did under the published blacklist. XGBoost, LightGBM and random forest move to 0.85, 1.46 and 0.39. Withholding the identifier column removed the column that made their posteriors near-deterministic, and the temperature says so.</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the FT-Transformer, the RNN and the CNN untouched, for a reason worth separating from inertia: the search adopted no configuration at all for any of them, their tuned arm being their default arm. Where it did adopt one, it moves logistic regression by -0.0003, k-NN by +0.0033 and the DNN by -0.0046. It transforms only the model that was badly configured to begin with. Naive Bayes gains +0.0462, from 0.4464 to 0.4925, and still finishes last of the ten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loses 0.0046 on the test partition, and logistic regression inverts the same way on a smaller scale, +0.0005 against −0.0003. Of the four models whose search adopted a configuration at all, two moved down on the test partition after moving up on validation.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Nine of the eleven detectors are worse calibrated under the temporal protocol than under the stratified one. The tenth is the majority-class baseline, whose confidence does not depend on the split. The eleventh is logistic regression, and it goes the other way, at a ratio of 0.4 — not because its temporal error improved but because its stratified error rose to meet it once the identifier column was withheld. The degradation is not marginal: LightGBM moves from an expected calibration error of 0.000031 to 0.043588, a factor of 1403, XGBoost by a factor of 994, and the FT-Transformer from 0.000083 to 0.012069, a factor of 146. Those ratios are large because the stratified denominator is near zero, so the absolute change is the quantity to read. Among the nine that degrade, the expected calibration error rises by between 0.005 and 0.044 in absolute terms. A measure that does not depend on binning tells the same story. The Brier score of LightGBM moves from 0.000059 to 0.079437, of the FT-Transformer from 0.000295 to 0.023857, of XGBoost from 0.000079 to 0.055339 and of random forest from 0.000118 to 0.053395,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[37].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is no longer inert under the temporal protocol, and no longer dependable.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does move things, but not reliably in the right direction: it improves five of the eleven detectors and worsens six, and which way it goes cannot be read off the stratified behaviour. The clearest repair is k-NN, from 0.0303 to 0.0160, and the clearest harm is random forest, from 0.0234 to 0.0410, which nearly doubles the error the scaling was fitted to reduce. The FT-Transformer, which leads under this protocol, moves the wrong way too, from 0.0121 to 0.0135. The reason is visible in the fitted temperatures. Withholding the identifier column already moved the tree ensembles off the floor of the grid under the stratified protocol (XGBoost 0.85, LightGBM 1.46, random forest 0.39), so the single parameter no longer has one dominant kind of over-confidence to undo. Under the temporal protocol it is fitted on a validation window that sits closer to training than the test window does, and it transfers that mismatch. The practical consequence is narrow but real. A temperature fitted under a random split is the wrong temperature for deployment on traffic that postdates training, and on this corpus a temperature fitted on the temporal validation window is not reliably the right one either.</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so before reading them we checked that the computation reproduces itself. The check is the published feature condition, replayed through the same code and compared against the earlier recomputation: raw expected calibration error agrees to within 0.0031 across both protocols. After temperature scaling the agreement is uneven, and the asymmetry is the point. It is 0.0002 under the stratified protocol and 0.0075 under the temporal one, although the fits underneath reproduce equally well on both. What amplifies is the scaling. The likelihood surface is flat near its optimum, so a small change in the probabilities moves the fitted temperature far enough to move the calibrated error with it. The last column of Table 8 is therefore the least stable quantity this paper reports, and its caption says so. One further caveat is arithmetic rather than statistical. The grid is bounded at 0.05 below and 5 above, so the temperature reported for naive Bayes is the ceiling of that grid and the one reported for the FT-Transformer under the temporal protocol, 0.050, is its floor; neither is an optimum. Nothing in the comparison between the two protocols depends on those bounds, since both protocols are calibrated on the same grid.</w:t>
      </w:r>
    </w:p>
    <w:p>
      <w:pPr>
        <w:keepNext/>
        <w:keepLines/>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 is fitted by minimising negative log-likelihood on the validation partition over a grid bounded at 0.05 and 5, so the value for naive Bayes sits at the ceiling. Trials: random-search trials actually completed under the 900 s cap; the search was run on the twelve-column condition and is carried over unchanged.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1.455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3.076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0.1419</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0.2240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 The last column is the least stable quantity reported in this paper: replaying the same fits reproduces raw temporal ECE to within 0.0031, but the temperature that minimises validation likelihood sits on a flat surface, and the optimum moves enough to shift the calibrated error by up to 0.0075 for the random forest, whose posteriors are near-deterministic.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0.000031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0.043588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1403×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0.732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0.041791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0.028000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994×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0.367</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0.035252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0.000083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0.013501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0.023375</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0.040999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0.001499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4.190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0.016012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0.001453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0.020094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0.018289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0.007476</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0.008415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0.001408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0.006767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0.586</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0.006520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0.141884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0.167869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0.269970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0.008429</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0.003307</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0.951</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0.003616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worse than chance.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 The nearest external evidence is Verkerken et al., who evaluate four unsupervised detectors including an autoencoder and report an average loss of 25.63% of accuracy when the same model is moved from CIC-IDS-2017 to CSE-CIC-IDS-2018 [16]. That result concerns transfer between corpora rather than polarity within one, so it does not settle the question just raised, but it places our observation in a literature where unsupervised detection is already known to travel badly.</w:t>
      </w:r>
    </w:p>
    <w:p>
      <w:pPr>
        <w:keepNext/>
        <w:keepLines/>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better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wp:inline distT="0" distB="0" distL="0" distR="0">
            <wp:extent cx="4895850" cy="2495550"/>
            <wp:effectExtent t="0" r="0" b="0" l="0"/>
            <wp:docPr id="1" name="" descr="" title=""/>
            <wp:cNvGraphicFramePr>
              <ns3:graphicFrameLocks noChangeAspect="1"/>
            </wp:cNvGraphicFramePr>
            <ns3:graphic>
              <ns3:graphicData uri="http://schemas.openxmlformats.org/drawingml/2006/picture">
                <ns4:pic>
                  <ns4:nvPicPr>
                    <ns4:cNvPr id="0" name="" descr=""/>
                    <ns4:cNvPicPr>
                      <ns3:picLocks noChangeAspect="1" noChangeArrowheads="1"/>
                    </ns4:cNvPicPr>
                  </ns4:nvPicPr>
                  <ns4:blipFill>
                    <ns3:blip r:embed="rId19" cstate="none"/>
                    <ns3:srcRect/>
                    <ns3:stretch>
                      <ns3:fillRect/>
                    </ns3:stretch>
                  </ns4:blipFill>
                  <ns4:spPr bwMode="auto">
                    <ns3:xfrm>
                      <ns3:off x="0" y="0"/>
                      <ns3:ext cx="4895850" cy="2495550"/>
                    </ns3:xfrm>
                    <ns3:prstGeom prst="rect">
                      <ns3:avLst/>
                    </ns3:prstGeom>
                  </ns4:spPr>
                </ns4:pic>
              </ns3:graphicData>
            </ns3:graphic>
          </wp:inline>
        </w:drawing>
      </w:r>
    </w:p>
    <w:p>
      <w:pPr>
        <w:keepLines/>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five seeds, audited condition: the measurements of Table 9.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The two columns rank the detectors differently, and the difference is the deployment regime rather than a measurement artefact. On batched throughput, logistic regression dominates outright at 601 449 flows/s, followed by random forest (58 151) and the DNN (51 972), with XGBoost fourth at 42 687. On single-flow latency the order inverts: random forest and the DNN need 55 and 77 ms per flow, where XGBoost answers in 1.22 ms and LightGBM in 1.55 ms. High batched throughput and low per-flow latency are not the same property, and only logistic regression leads both. The FT-Transformer is last on both, at 548 flows/s — 78 times below XGBoost, and its own lead comes only under the temporal protocol. The worst of both worlds is k-NN, paying 621 flows/s, 25.8 ms and 11.4 MB for a temporal macro-F1 of 0.9574, eighth of nine. One caveat governs how the latency column may be read. The four Keras models return median latencies inside a 4.4% band (76.8 to 80.1 ms) although their batched throughput differs by a factor of 95, so that column is dominated by a fixed per-call overhead of the prediction API and is not comparable with the scikit-learn column. The throughput column does amortise that overhead. One call covers 10 240 flows at batch size 512, so the overhead is paid once. An earlier version of this measurement looped twenty separate calls of 512 flows and therefore paid it twenty times, which inflated nothing but suppressed the throughput of every detector that has such an overhead — the four Keras models, and random forest through its parallel backend. That is why the two columns are now informative separately.</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logistic regression is the defensible default, and the margin is not close. It is ahead of XGBoost on four of the five axes we measure for both: 601 449 flows/s against 42 687, 0.14 ms against 1.22 at the median and 0.25 against 5.89 at the 99th percentile, and a temporal macro-F1 of 0.9881 against 0.9666, in a model of negligible size. Its single deficit is stratified macro-F1, at 0.9963 against 0.9999 — which is the quantity Section 6.1 finds saturated and Figure 9 finds statistically indistinguishable across eleven pairs. Only the FT-Transformer beats it under the temporal protocol, at 0.9901, 0.0020 above, and that costs 1 097 times more per flow. Random forest shows why both cost columns have to be read: second on batched throughput at 58 151 flows/s, yet 55 ms per flow, 45 times XGBoost's median latency.</w:t>
      </w:r>
    </w:p>
    <w:p>
      <w:pPr>
        <w:keepNext/>
        <w:keepLines/>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on the audited condition as corrected in Section 9, over 54 columns. Latency is measured at batch size 1 over 200 samples. All detectors were measured within one session, with the Keras models pinned to the CPU and each library left at its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 Throughput is one call over 10 240 flows at batch size 512, which amortises the per-call overhead once rather than twenty times; an earlier measurement looped twenty calls of 512 and is not comparable with this column. Model size and the majority-class row are carried over unchanged: the first is not re-measured, the second predicts a constant and marks a floor rather than a comparison.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42 687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1.55</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6 090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55.16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67.36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58 151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168.85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548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601 449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147.63</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22 217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76.76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154.96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28 580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51 972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621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229 694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wp:inline distT="0" distB="0" distL="0" distR="0">
            <wp:extent cx="4410075" cy="3121051"/>
            <wp:effectExtent t="0" r="0" b="0" l="0"/>
            <wp:docPr id="1" name="" descr="" title=""/>
            <wp:cNvGraphicFramePr>
              <ns3:graphicFrameLocks noChangeAspect="1"/>
            </wp:cNvGraphicFramePr>
            <ns3:graphic>
              <ns3:graphicData uri="http://schemas.openxmlformats.org/drawingml/2006/picture">
                <ns4:pic>
                  <ns4:nvPicPr>
                    <ns4:cNvPr id="0" name="" descr=""/>
                    <ns4:cNvPicPr>
                      <ns3:picLocks noChangeAspect="1" noChangeArrowheads="1"/>
                    </ns4:cNvPicPr>
                  </ns4:nvPicPr>
                  <ns4:blipFill>
                    <ns3:blip r:embed="rId20" cstate="none"/>
                    <ns3:srcRect/>
                    <ns3:stretch>
                      <ns3:fillRect/>
                    </ns3:stretch>
                  </ns4:blipFill>
                  <ns4:spPr bwMode="auto">
                    <ns3:xfrm>
                      <ns3:off x="0" y="0"/>
                      <ns3:ext cx="4410075" cy="3121051"/>
                    </ns3:xfrm>
                    <ns3:prstGeom prst="rect">
                      <ns3:avLst/>
                    </ns3:prstGeom>
                  </ns4:spPr>
                </ns4:pic>
              </ns3:graphicData>
            </ns3:graphic>
          </wp:inline>
        </w:drawing>
      </w:r>
    </w:p>
    <w:p>
      <w:pPr>
        <w:keepLines/>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Both axes are the audited condition as corrected in Section 9. Throughput spans three orders of magnitude, and no detector occupies the top-right corner: the FT-Transformer buys the best quality at the worst throughput, logistic regression is within 0.0020 of it at 1 097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ten of the eleven detectors at five rolling origins, the FT-Transformer excepted for the cost recorded in Section 9,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wp:inline distT="0" distB="0" distL="0" distR="0">
            <wp:extent cx="6124575" cy="2971800"/>
            <wp:effectExtent t="0" r="0" b="0" l="0"/>
            <wp:docPr id="34" name="" descr="" title=""/>
            <wp:cNvGraphicFramePr>
              <ns3:graphicFrameLocks noChangeAspect="1"/>
            </wp:cNvGraphicFramePr>
            <ns3:graphic>
              <ns3:graphicData uri="http://schemas.openxmlformats.org/drawingml/2006/picture">
                <ns4:pic>
                  <ns4:nvPicPr>
                    <ns4:cNvPr id="0" name="" descr=""/>
                    <ns4:cNvPicPr>
                      <ns3:picLocks noChangeAspect="1" noChangeArrowheads="1"/>
                    </ns4:cNvPicPr>
                  </ns4:nvPicPr>
                  <ns4:blipFill>
                    <ns3:blip r:embed="rId27" cstate="none"/>
                    <ns3:srcRect/>
                    <ns3:stretch>
                      <ns3:fillRect/>
                    </ns3:stretch>
                  </ns4:blipFill>
                  <ns4:spPr bwMode="auto">
                    <ns3:xfrm>
                      <ns3:off x="0" y="0"/>
                      <ns3:ext cx="6124575" cy="2971800"/>
                    </ns3:xfrm>
                    <ns3:prstGeom prst="rect">
                      <ns3:avLst/>
                    </ns3:prstGeom>
                  </ns4:spPr>
                </ns4:pic>
              </ns3:graphicData>
            </ns3:graphic>
          </wp:inline>
        </w:drawing>
      </w:r>
    </w:p>
    <w:p>
      <w:pPr>
        <w:keepLines/>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on the audited condition as published and not re-run under the correction of Section 9. Eight detectors are plotted and the vertical axis is broken. Four of them stay inside the upper 0.03 band at every origin; the two boosted ensembles leave it at the two earliest origins, which the lower panel resolves, and the RNN at 0.45 and the DNN at 0.40 dip below it without a panel of their own.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wp:inline distT="0" distB="0" distL="0" distR="0">
            <wp:extent cx="6124575" cy="2697480"/>
            <wp:effectExtent t="0" r="0" b="0" l="0"/>
            <wp:docPr id="35" name="" descr="" title=""/>
            <wp:cNvGraphicFramePr>
              <ns3:graphicFrameLocks noChangeAspect="1"/>
            </wp:cNvGraphicFramePr>
            <ns3:graphic>
              <ns3:graphicData uri="http://schemas.openxmlformats.org/drawingml/2006/picture">
                <ns4:pic>
                  <ns4:nvPicPr>
                    <ns4:cNvPr id="0" name="" descr=""/>
                    <ns4:cNvPicPr>
                      <ns3:picLocks noChangeAspect="1" noChangeArrowheads="1"/>
                    </ns4:cNvPicPr>
                  </ns4:nvPicPr>
                  <ns4:blipFill>
                    <ns3:blip r:embed="rId28" cstate="none"/>
                    <ns3:srcRect/>
                    <ns3:stretch>
                      <ns3:fillRect/>
                    </ns3:stretch>
                  </ns4:blipFill>
                  <ns4:spPr bwMode="auto">
                    <ns3:xfrm>
                      <ns3:off x="0" y="0"/>
                      <ns3:ext cx="6124575" cy="2697480"/>
                    </ns3:xfrm>
                    <ns3:prstGeom prst="rect">
                      <ns3:avLst/>
                    </ns3:prstGeom>
                  </ns4:spPr>
                </ns4:pic>
              </ns3:graphicData>
            </ns3:graphic>
          </wp:inline>
        </w:drawing>
      </w:r>
    </w:p>
    <w:p>
      <w:pPr>
        <w:keepLines/>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for five of the eleven detectors and on the audited condition as published.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the earlier work these architectures come from. The comparative study reused here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That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[19]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[35, 36],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[21],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wp:inline distT="0" distB="0" distL="0" distR="0">
            <wp:extent cx="6124575" cy="2514600"/>
            <wp:effectExtent t="0" r="0" b="0" l="0"/>
            <wp:docPr id="30" name="" descr="" title=""/>
            <wp:cNvGraphicFramePr>
              <ns3:graphicFrameLocks noChangeAspect="1"/>
            </wp:cNvGraphicFramePr>
            <ns3:graphic>
              <ns3:graphicData uri="http://schemas.openxmlformats.org/drawingml/2006/picture">
                <ns4:pic>
                  <ns4:nvPicPr>
                    <ns4:cNvPr id="0" name="" descr=""/>
                    <ns4:cNvPicPr>
                      <ns3:picLocks noChangeAspect="1" noChangeArrowheads="1"/>
                    </ns4:cNvPicPr>
                  </ns4:nvPicPr>
                  <ns4:blipFill>
                    <ns3:blip r:embed="rId23" cstate="none"/>
                    <ns3:srcRect/>
                    <ns3:stretch>
                      <ns3:fillRect/>
                    </ns3:stretch>
                  </ns4:blipFill>
                  <ns4:spPr bwMode="auto">
                    <ns3:xfrm>
                      <ns3:off x="0" y="0"/>
                      <ns3:ext cx="6124575" cy="2514600"/>
                    </ns3:xfrm>
                    <ns3:prstGeom prst="rect">
                      <ns3:avLst/>
                    </ns3:prstGeom>
                  </ns4:spPr>
                </ns4:pic>
              </ns3:graphicData>
            </ns3:graphic>
          </wp:inline>
        </w:drawing>
      </w:r>
    </w:p>
    <w:p>
      <w:pPr>
        <w:keepLines/>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keepLines/>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[35, 36].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 One element of the procedure does not carry to another corpus, and it is the threshold. Section 4.3 recovers the eight columns by their rank and by the gap that isolates them under an audit design where the literal 0.50 cut excludes nothing, so a study on a different corpus should transport the ranking and the gap rather than the number.</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0.9901, but it processes 548 flows per second, 78 times fewer than XGBoost. XGBoost falls behind every neural detector and the linear model on quality at 0.9666 and is fourth on batched throughput at 42 687 flows per second, but it answers a single flow in 1.22 ms where the three detectors above it on throughput need 0.14 to 77 ms,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0.9881 under the temporal protocol, second overall and ahead of both gradient-boosted ensembles and every recurrent or dense network, at 601 449 flows per second and a negligible model footprint. Its fitted temperature of 0.68 also leaves usable probability estimates. On this corpus, the quality-per-unit-cost argument favours it by a wide margin at the 60-second interval, and only there. Section 6.4 measures it at 0.6076 at 30 s and 0.3831 at 10 s, so the recommendation holds where the aggregation window is the deployer's to fix and not otherwise. Any claim that a deep architecture is required here still has to answer the cost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Four detectors are indifferent to it. XGBoost never falls below 0.9998 across its twenty runs, with a zero false-positive rate at every interval, and random forest and k-NN never fall below 0.9998 and 0.9931. LightGBM holds as well, apart from the single seed Section 6.4 documents. The DNN is not: it falls from 0.9968 at 60 s to about 0.849 at 30 s on four of five seeds, with a fifth at 0.9879, and to roughly 0.51 at 10 and 5 s, with false-positive rates of 34 and 39% at the two shortest intervals. Combined with its weak showing under the temporal protocol (0.9773),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0.0015 for every model except logistic regression and naive Bayes, so calibration in the usual sense is not the discriminating criterion there. Under the temporal protocol it becomes one: nine of the eleven detectors degrade, and the three best calibrated under a random split, the two boosted ensembles and the FT-Transformer, degrade by factors of 146 to 1403 (Section 6.5). A detector selected on its stratified calibration is therefore selected on a quantity that does not survive the protocol this paper argues for. The fitted temperatures no longer separate the families: 0.39 to 1.46 for the three tree ensembles against 0.68 to 1.35 for the neural models and logistic regression, two overlapping ranges. Withholding the identifier column is what closed the gap, by removing what made the tree posteriors near-deterministic. Under the twelve-column condition the ensembles sat at 0.05 to 0.09, the floor of the search grid. A temperature far below one is the signature of near-deterministic posteriors, which is harmless when the argmax is all that is consumed, and a real limitation when the downstream system pools probabilities, prioritises alerts by confidence, or defers on a rejection threshold. On the corrected condition only random forest, at 0.39, is far enough below one for that to bite, so this is a property of one detector rather than of the tree family.</w:t>
      </w:r>
    </w:p>
    <w:p>
      <w:pPr>
        <w:spacing w:after="120" w:line="276" w:lineRule="auto"/>
        <w:jc w:val="both"/>
      </w:pPr>
      <w:r>
        <w:rPr>
          <w:b/>
          <w:bCs/>
        </w:rPr>
        <w:t xml:space="preserve">What we would deploy on this corpus.</w:t>
      </w:r>
      <w:r>
        <w:t xml:space="preserve"> Logistic regression as the default at the 60-second interval. It is ahead of XGBoost on four of the five axes we measure for both — batched throughput, median latency, tail latency and temporal macro-F1 — and behind on one, stratified macro-F1, which is the axis this paper spends its length arguing is not interpretable on this corpus. XGBoost or random forest where the aggregation interval is outside the deployer's control. Both hold macro-F1 at or above 0.9998 at 5, 10, 30 and 60 s, and XGBoost is unchanged to four decimals by tuning. The interval study covers logistic regression now, and the comparison it was once unable to make comes out against it. The FT-Transformer only where 0.0020 of temporal macro-F1 is worth 1 097 times the cost per flow, and noting that its lead was obtained with a single untuned configuration. Random forest has the second-highest batched throughput at 58 151 flows/s, but needs 55 ms per flow and is last of the nine on temporal quality, so it is dominated wherever either of those binds. The k-nearest neighbours detector does not scale (621 flows/s, 11.4 MB, and fitted on a capped 50 000-flow subsample), and naive Bayes is not competitive at 0.4843. One limit applies to all of this. The temporal protocol yields a single deterministic partition, so the temporal column carries no variance estimate and small gaps in it should not be over-read. A second limit bounds what that axis means. The per-class split orders flows inside each class and therefore uses the label to build its partition, so it measures whether a detector still recognises later flows of a family it has already seen, and not what it would do on an unlabelled stream arriving after training (Section 4.2). These are recommendations under that diagnostic.</w:t>
      </w:r>
    </w:p>
    <w:p>
      <w:pPr>
        <w:keepNext/>
        <w:keepLines/>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The majority baseline is omitted, since it predicts a constant and has no viability to report. Interval robustness was measured for nine of the eleven detectors, the FT-Transformer excepted for the cost recorded in Section 9; a fitted temperature far below one indicates near-deterministic posteriors rather than miscalibration. Throughput is the amortised measurement of Table 10, on the same corrected condition.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548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601 449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0.61 at 30 s, 0.38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0.9848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28 580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0.74 at 30 s, 0.46 at 5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22 217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at 0.92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0.9773</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51 972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1.35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42 687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0.85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6 090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1.46</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0.9574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621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0.9931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3.08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58 151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0.39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0.4843</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229 694</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rises to 0.78 at 5 s</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5.00</w:t>
            </w:r>
          </w:p>
        </w:tc>
      </w:tr>
    </w:tbl>
    <w:p>
      <w:pPr>
        <w:spacing w:after="120"/>
      </w:pPr>
    </w:p>
    <w:p>
      <w:pPr>
        <w:keepNext/>
        <w:spacing w:after="80" w:before="200"/>
        <w:jc w:val="center"/>
      </w:pPr>
      <w:r>
        <w:drawing>
          <wp:inline distT="0" distB="0" distL="0" distR="0">
            <wp:extent cx="5267325" cy="3973111"/>
            <wp:effectExtent t="0" r="0" b="0" l="0"/>
            <wp:docPr id="99" name="" descr="" title=""/>
            <wp:cNvGraphicFramePr>
              <ns3:graphicFrameLocks noChangeAspect="1"/>
            </wp:cNvGraphicFramePr>
            <ns3:graphic>
              <ns3:graphicData uri="http://schemas.openxmlformats.org/drawingml/2006/picture">
                <ns4:pic>
                  <ns4:nvPicPr>
                    <ns4:cNvPr id="0" name="" descr=""/>
                    <ns4:cNvPicPr>
                      <ns3:picLocks noChangeAspect="1" noChangeArrowheads="1"/>
                    </ns4:cNvPicPr>
                  </ns4:nvPicPr>
                  <ns4:blipFill>
                    <ns3:blip r:embed="rId22" cstate="none"/>
                    <ns3:srcRect/>
                    <ns3:stretch>
                      <ns3:fillRect/>
                    </ns3:stretch>
                  </ns4:blipFill>
                  <ns4:spPr bwMode="auto">
                    <ns3:xfrm>
                      <ns3:off x="0" y="0"/>
                      <ns3:ext cx="5267325" cy="3973111"/>
                    </ns3:xfrm>
                    <ns3:prstGeom prst="rect">
                      <ns3:avLst/>
                    </ns3:prstGeom>
                  </ns4:spPr>
                </ns4:pic>
              </ns3:graphicData>
            </ns3:graphic>
          </wp:inline>
        </w:drawing>
      </w:r>
    </w:p>
    <w:p>
      <w:pPr>
        <w:keepLines/>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0.95, ordered by macro-F1. Naive Bayes and the majority baseline are omitted because both fall far below the colour scale, which is clipped at 0.80, the lowest value in the table being 0.814. Two classes remain free for every detector, dos-icmp within 0.0001 and dos-udp within 0.0006. What changed with the corrected blacklist is that the loss no longer disperses: it concentrates on dos-hulk and dos-slowloris, where the DNN, XGBoost, LightGBM, k-NN and random forest all fall below 0.93, and elsewhere only random forest on benign and k-NN on bruteforce-smb drop that far. The lowest cell is random forest on dos-hulk at 0.814, against 0.957 for the leading detector's worst class; eleven of those twelve cells sat above 0.93 under the published blacklist. The same quantities under the stratified protocol stay above 0.979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and carries no column of reported accuracies.</w:t>
      </w:r>
    </w:p>
    <w:p>
      <w:pPr>
        <w:keepNext/>
        <w:keepLines/>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[21]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[19]</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i w:val="false"/>
          <w:iCs w:val="false"/>
          <w:sz w:val="22"/>
          <w:szCs w:val="22"/>
        </w:rPr>
        <w:t xml:space="preserve">A leak our own criterion could not see. </w:t>
      </w:r>
      <w:r>
        <w:rPr>
          <w:rFonts w:ascii="Times New Roman" w:cs="Times New Roman" w:eastAsia="Times New Roman" w:hAnsi="Times New Roman"/>
          <w:b w:val="false"/>
          <w:bCs w:val="false"/>
          <w:i w:val="false"/>
          <w:iCs w:val="false"/>
          <w:sz w:val="22"/>
          <w:szCs w:val="22"/>
        </w:rPr>
        <w:t xml:space="preserve">The transferability criterion has a blind spot that this corpus contains an instance of, and we found it late. A ratio between two protocols measures how much of a column's predictive power fails to survive the change. A leak frozen within each capture group loses nothing, because it is equally available on both sides of any split of that group, so the ratio reports it as signal.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is that instance: transferability 0.94 under the published rule, 1.02 under the nested audit, unremarkable in the residual audit, and a binary AUC of 1.0000. It sat in the audited condition of the campaign this paper reports. The test that finds it is in Section 4.3 and reads no labels; it is cheap, and we recommend running it before any transferability audit rather than after. Two things about the episode are worth stating plainly. The first is that attribution did not miss this column — it ranked it first, at 0.2279 — so the failure was ours in reading a high importance as evidence of signal, which is the mirror of the error Section 6.2 documents in the other direction. The second is that our own criterion was documented as having this limit before we hit it, and documenting a limit is not the same as guarding against it. What the omission cost we measured rather than assumed, by retraining every detector under both protocols with the column removed: at most 0.0038 of macro-F1 under the stratified protocol and 0.0263 under the temporal one, a ratio of 7 between protocols, the same signature the other twelve exclusions show. No conclusion of this paper turns on it, and one is sharpened, since under the corrected list the two boosted ensembles fall further from the top of the temporal ranking than they already did. One column adjacent to this question stays unresolved.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is not constant within a capture file, so the new test does not return it, yet a tree given it alone separates benign from attack traffic at an AUC of 0.9379 while classifying the nine classes at 0.0601, below the majority-class rate. We report it and retain the column, because excluding it would mean excluding on suspicion rather than on a stated criterion, which is the practice this paper argues against.</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eighteen-feature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eighteen-feature exclusion and observing whether macro-F1 holds, which we did not run and which we flag as the immediate next experiment on this corpus.</w:t>
      </w:r>
    </w:p>
    <w:p>
      <w:pPr>
        <w:keepNext/>
        <w:keepLines/>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That table counts columns and not consequences. What the choice costs in detection is measured further down in this section, for four of these lists and under both protocols.</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keepLines/>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but not the identifier column, which no threshold on this ratio reaches, so the operative row reads twelve where the published blacklist has thirteen, and the τ* column seventeen where Sections 9 and 10 give eighteen. The operative row is the rule this paper applies. Computed from the released transferability table by </w:t>
      </w:r>
      <w:r>
        <w:rPr>
          <w:rFonts w:ascii="Consolas" w:cs="Consolas" w:eastAsia="Calibri" w:hAnsi="Consolas"/>
          <w:b w:val="false"/>
          <w:bCs w:val="false"/>
          <w:i w:val="false"/>
          <w:iCs w:val="false"/>
          <w:sz w:val="18"/>
          <w:szCs w:val="18"/>
        </w:rPr>
        <w:t xml:space="preserve">paper/sensitivity_threshold.py</w:t>
      </w:r>
      <w:r>
        <w:rPr>
          <w:rFonts w:ascii="Calibri" w:cs="Calibri" w:eastAsia="Calibri" w:hAnsi="Calibri"/>
          <w:b w:val="false"/>
          <w:bCs w:val="false"/>
          <w:i w:val="false"/>
          <w:iCs w:val="false"/>
          <w:sz w:val="18"/>
          <w:szCs w:val="18"/>
        </w:rPr>
        <w:t xml:space="preserve">,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[21].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no behavioural exclusion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wp:inline distT="0" distB="0" distL="0" distR="0">
            <wp:extent cx="6124575" cy="2487168"/>
            <wp:effectExtent t="0" r="0" b="0" l="0"/>
            <wp:docPr id="36" name="" descr="" title=""/>
            <wp:cNvGraphicFramePr>
              <ns3:graphicFrameLocks noChangeAspect="1"/>
            </wp:cNvGraphicFramePr>
            <ns3:graphic>
              <ns3:graphicData uri="http://schemas.openxmlformats.org/drawingml/2006/picture">
                <ns4:pic>
                  <ns4:nvPicPr>
                    <ns4:cNvPr id="0" name="" descr=""/>
                    <ns4:cNvPicPr>
                      <ns3:picLocks noChangeAspect="1" noChangeArrowheads="1"/>
                    </ns4:cNvPicPr>
                  </ns4:nvPicPr>
                  <ns4:blipFill>
                    <ns3:blip r:embed="rId29" cstate="none"/>
                    <ns3:srcRect/>
                    <ns3:stretch>
                      <ns3:fillRect/>
                    </ns3:stretch>
                  </ns4:blipFill>
                  <ns4:spPr bwMode="auto">
                    <ns3:xfrm>
                      <ns3:off x="0" y="0"/>
                      <ns3:ext cx="6124575" cy="2487168"/>
                    </ns3:xfrm>
                    <ns3:prstGeom prst="rect">
                      <ns3:avLst/>
                    </ns3:prstGeom>
                  </ns4:spPr>
                </ns4:pic>
              </ns3:graphicData>
            </ns3:graphic>
          </wp:inline>
        </w:drawing>
      </w:r>
    </w:p>
    <w:p>
      <w:pPr>
        <w:keepLines/>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The campaign reported here was nonetheless run on the blacklist as originally computed.</w:t>
      </w:r>
    </w:p>
    <w:p>
      <w:pPr>
        <w:keepNext/>
        <w:spacing w:after="80" w:before="200"/>
        <w:jc w:val="center"/>
      </w:pPr>
      <w:r>
        <w:drawing>
          <wp:inline distT="0" distB="0" distL="0" distR="0">
            <wp:extent cx="6124575" cy="2834640"/>
            <wp:effectExtent t="0" r="0" b="0" l="0"/>
            <wp:docPr id="31" name="" descr="" title=""/>
            <wp:cNvGraphicFramePr>
              <ns3:graphicFrameLocks noChangeAspect="1"/>
            </wp:cNvGraphicFramePr>
            <ns3:graphic>
              <ns3:graphicData uri="http://schemas.openxmlformats.org/drawingml/2006/picture">
                <ns4:pic>
                  <ns4:nvPicPr>
                    <ns4:cNvPr id="0" name="" descr=""/>
                    <ns4:cNvPicPr>
                      <ns3:picLocks noChangeAspect="1" noChangeArrowheads="1"/>
                    </ns4:cNvPicPr>
                  </ns4:nvPicPr>
                  <ns4:blipFill>
                    <ns3:blip r:embed="rId24" cstate="none"/>
                    <ns3:srcRect/>
                    <ns3:stretch>
                      <ns3:fillRect/>
                    </ns3:stretch>
                  </ns4:blipFill>
                  <ns4:spPr bwMode="auto">
                    <ns3:xfrm>
                      <ns3:off x="0" y="0"/>
                      <ns3:ext cx="6124575" cy="2834640"/>
                    </ns3:xfrm>
                    <ns3:prstGeom prst="rect">
                      <ns3:avLst/>
                    </ns3:prstGeom>
                  </ns4:spPr>
                </ns4:pic>
              </ns3:graphicData>
            </ns3:graphic>
          </wp:inline>
        </w:drawing>
      </w:r>
    </w:p>
    <w:p>
      <w:pPr>
        <w:keepLines/>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One of those six controls is IdleTime, which Section 9 excludes on a criterion this figure does not apply; dropping it lowers the controls' average loss to 0.128 and widens the gap, so the figure as drawn is the conservative reading.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resists explanation. </w:t>
      </w:r>
      <w:r>
        <w:rPr>
          <w:rFonts w:ascii="Times New Roman" w:cs="Times New Roman" w:eastAsia="Times New Roman" w:hAnsi="Times New Roman"/>
          <w:b w:val="false"/>
          <w:bCs w:val="false"/>
          <w:i w:val="false"/>
          <w:iCs w:val="false"/>
          <w:sz w:val="22"/>
          <w:szCs w:val="22"/>
        </w:rPr>
        <w:t xml:space="preserve">Section 6.4 eliminates the mechanisms we could test for the collapse of one LightGBM run at the 10-second interval, and names none in their place. Row and column resampling are excluded by the recorded configuration; histogram bin construction, which reproduces the observed shape on synthetic data and was our leading candidate, is excluded by direct experiment on the corpus, since making the grid deterministic relocates the failure instead of removing it and lowers its worst case. We report that negative outcome rather than the mechanism we expected to report, and the residue is a limitation. At the 10-second interval the behaviour of this ensemble depends on which flows fall in the training partition, through a path we have not isolated. Two properties of the failure survive both settings and are what a reader should carry away. It is discrete rather than gradual, no run of either arm landing between 0.84 and 0.99, so it cannot be caught by inspecting a spread. A mean over seeds conceals it, which is why Table 6 reports runs. Neither depends on knowing the mechanism. The corresponding caution is that a single fit of a boosted ensemble at short aggregation intervals on this corpus is not evidence, and no configuration change we found makes it one.</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We cannot claim that this leaves the reported accuracies untouched. Re-fitting the FT-Transformer in a later session moved its temporal macro-F1 by 0.0187, more than the effect that the feature correction reported above measures, and the runtime records neither which accelerator served a given run nor whether one was attached at all, so the two cannot be separated after the fact. What the confound does not weaken is the FT-Transformer's temporal-protocol lead, obtained with a single and essentially untuned configuration, since a smaller search budget cannot flatter it.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the GeNIS 2025 corpus with a four-test feature protocol and benchmarked it with eleven supervised detectors, one unsupervised detector, five seeds, two feature conditions beyond the raw one, two evaluation protocols, and paired significance testing: 154 training runs, and the 180 that repeated the audited condition after the correction of Section 9.</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What a study on another corpus should carry over is the ranking that procedure produces and the gap that isolates its lowest columns, not the threshold we cut ours at.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per-class temporal protocol, a label-using diagnostic rather than a model of deployment, where the FT-Transformer leads and the boosted trees that dominate the random split fall to sixth and seventh of nine, behind every neural detector and the linear model. Calibration follows the same pattern: near-perfect under a random split, it degrades under temporal evaluation for nine of the eleven detectors, by factors of 146 to 1403 for the three that the random split ranks best calibrated, so calibration measured under a random split describes the split rather than the detector. We publish a thirteen-feature blacklist together with the full transferability spectrum under both normalisations, from which a stricter eighteen-feature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doi:10.5281/zenodo.14919237. Our artefact is released in two parts, a code repository and a data archive under a CC-BY 4.0 licence. Both are withheld here for double anonymized review, since their addresses identify the authors, and both have been supplied to the editorial office; the citations will be restored on acceptance. The archive holds the results file for the 154 runs, which also carries the feature blacklist, the transferability spectrum under both normalisations and the hyperparameter configurations, together with the frozen split indices, the per-run probability matrices and the figures, and a second file with the trained detectors of the reference configuration and their fitted preprocessing parameters.</w:t>
      </w:r>
      <w:r>
        <w:rPr>
          <w:rFonts w:ascii="Consolas" w:cs="Consolas" w:eastAsia="Consolas" w:hAnsi="Consolas"/>
          <w:b w:val="false"/>
          <w:bCs w:val="false"/>
          <w:i w:val="false"/>
          <w:iCs w:val="false"/>
          <w:sz w:val="20"/>
          <w:szCs w:val="20"/>
        </w:rPr>
        <w:t xml:space="preserve"/>
      </w:r>
      <w:r>
        <w:rPr>
          <w:rFonts w:ascii="Times New Roman" w:cs="Times New Roman" w:eastAsia="Times New Roman" w:hAnsi="Times New Roman"/>
          <w:b w:val="false"/>
          <w:bCs w:val="false"/>
          <w:i w:val="false"/>
          <w:iCs w:val="false"/>
          <w:sz w:val="22"/>
          <w:szCs w:val="22"/>
        </w:rPr>
        <w:t xml:space="preserve"/>
      </w:r>
      <w:r>
        <w:rPr>
          <w:rFonts w:ascii="Consolas" w:cs="Consolas" w:eastAsia="Consolas" w:hAnsi="Consolas"/>
          <w:b w:val="false"/>
          <w:bCs w:val="false"/>
          <w:i w:val="false"/>
          <w:iCs w:val="false"/>
          <w:sz w:val="20"/>
          <w:szCs w:val="20"/>
        </w:rPr>
        <w:t xml:space="preserve"/>
      </w:r>
      <w:r>
        <w:rPr>
          <w:rFonts w:ascii="Times New Roman" w:cs="Times New Roman" w:eastAsia="Times New Roman" w:hAnsi="Times New Roman"/>
          <w:b w:val="false"/>
          <w:bCs w:val="false"/>
          <w:i w:val="false"/>
          <w:iCs w:val="false"/>
          <w:sz w:val="22"/>
          <w:szCs w:val="22"/>
        </w:rPr>
        <w:t xml:space="preserve"/>
      </w:r>
      <w:r>
        <w:rPr>
          <w:rFonts w:ascii="Consolas" w:cs="Consolas" w:eastAsia="Consolas" w:hAnsi="Consolas"/>
          <w:b w:val="false"/>
          <w:bCs w:val="false"/>
          <w:i w:val="false"/>
          <w:iCs w:val="false"/>
          <w:sz w:val="20"/>
          <w:szCs w:val="20"/>
        </w:rPr>
        <w:t xml:space="preserve"/>
      </w:r>
      <w:r>
        <w:rPr>
          <w:rFonts w:ascii="Times New Roman" w:cs="Times New Roman" w:eastAsia="Times New Roman" w:hAnsi="Times New Roman"/>
          <w:b w:val="false"/>
          <w:bCs w:val="false"/>
          <w:i w:val="false"/>
          <w:iCs w:val="false"/>
          <w:sz w:val="22"/>
          <w:szCs w:val="22"/>
        </w:rPr>
        <w:t xml:space="preserve"/>
      </w:r>
      <w:r>
        <w:rPr>
          <w:rFonts w:ascii="Consolas" w:cs="Consolas" w:eastAsia="Consolas" w:hAnsi="Consolas"/>
          <w:b w:val="false"/>
          <w:bCs w:val="false"/>
          <w:i w:val="false"/>
          <w:iCs w:val="false"/>
          <w:sz w:val="20"/>
          <w:szCs w:val="20"/>
        </w:rPr>
        <w:t xml:space="preserve"/>
      </w:r>
      <w:r>
        <w:rPr>
          <w:rFonts w:ascii="Times New Roman" w:cs="Times New Roman" w:eastAsia="Times New Roman" w:hAnsi="Times New Roman"/>
          <w:b w:val="false"/>
          <w:bCs w:val="false"/>
          <w:i w:val="false"/>
          <w:iCs w:val="false"/>
          <w:sz w:val="22"/>
          <w:szCs w:val="22"/>
        </w:rPr>
        <w:t xml:space="preserve"/>
      </w:r>
      <w:r>
        <w:rPr>
          <w:rFonts w:ascii="Consolas" w:cs="Consolas" w:eastAsia="Times New Roman" w:hAnsi="Consolas"/>
          <w:b w:val="false"/>
          <w:bCs w:val="false"/>
          <w:i w:val="false"/>
          <w:iCs w:val="false"/>
          <w:sz w:val="22"/>
          <w:szCs w:val="22"/>
        </w:rPr>
        <w:t xml:space="preserve"/>
      </w:r>
      <w:r>
        <w:rPr>
          <w:rFonts w:ascii="Times New Roman" w:cs="Times New Roman" w:eastAsia="Times New Roman" w:hAnsi="Times New Roman"/>
          <w:b w:val="false"/>
          <w:bCs w:val="false"/>
          <w:i w:val="false"/>
          <w:iCs w:val="false"/>
          <w:sz w:val="22"/>
          <w:szCs w:val="22"/>
        </w:rPr>
        <w:t xml:space="preserve"/>
      </w:r>
      <w:r>
        <w:rPr>
          <w:rFonts w:ascii="Consolas" w:cs="Consolas" w:eastAsia="Times New Roman" w:hAnsi="Consolas"/>
          <w:b w:val="false"/>
          <w:bCs w:val="false"/>
          <w:i w:val="false"/>
          <w:iCs w:val="false"/>
          <w:sz w:val="22"/>
          <w:szCs w:val="22"/>
        </w:rPr>
        <w:t xml:space="preserve"/>
      </w:r>
      <w:r>
        <w:rPr>
          <w:rFonts w:ascii="Times New Roman" w:cs="Times New Roman" w:eastAsia="Times New Roman" w:hAnsi="Times New Roman"/>
          <w:b w:val="false"/>
          <w:bCs w:val="false"/>
          <w:i w:val="false"/>
          <w:iCs w:val="false"/>
          <w:sz w:val="22"/>
          <w:szCs w:val="22"/>
        </w:rPr>
        <w:t xml:space="preserve"/>
      </w:r>
      <w:r>
        <w:rPr>
          <w:rFonts w:ascii="Consolas" w:cs="Consolas" w:eastAsia="Times New Roman" w:hAnsi="Consolas"/>
          <w:b w:val="false"/>
          <w:bCs w:val="false"/>
          <w:i w:val="false"/>
          <w:iCs w:val="false"/>
          <w:sz w:val="22"/>
          <w:szCs w:val="22"/>
        </w:rPr>
        <w:t xml:space="preserve"/>
      </w:r>
      <w:r>
        <w:rPr>
          <w:rFonts w:ascii="Times New Roman" w:cs="Times New Roman" w:eastAsia="Times New Roman" w:hAnsi="Times New Roman"/>
          <w:b w:val="false"/>
          <w:bCs w:val="false"/>
          <w:i w:val="false"/>
          <w:iCs w:val="false"/>
          <w:sz w:val="22"/>
          <w:szCs w:val="22"/>
        </w:rPr>
        <w:t xml:space="preserve"/>
      </w:r>
      <w:r>
        <w:rPr>
          <w:rFonts w:ascii="Consolas" w:cs="Consolas" w:eastAsia="Times New Roman" w:hAnsi="Consolas"/>
          <w:b w:val="false"/>
          <w:bCs w:val="false"/>
          <w:i w:val="false"/>
          <w:iCs w:val="false"/>
          <w:sz w:val="22"/>
          <w:szCs w:val="22"/>
        </w:rPr>
        <w:t xml:space="preserve"/>
      </w:r>
      <w:r>
        <w:rPr>
          <w:rFonts w:ascii="Times New Roman" w:cs="Times New Roman" w:eastAsia="Times New Roman" w:hAnsi="Times New Roman"/>
          <w:b w:val="false"/>
          <w:bCs w:val="false"/>
          <w:i w:val="false"/>
          <w:iCs w:val="false"/>
          <w:sz w:val="22"/>
          <w:szCs w:val="22"/>
        </w:rPr>
        <w:t xml:space="preserve"/>
      </w:r>
      <w:r>
        <w:rPr>
          <w:rFonts w:ascii="Consolas" w:cs="Consolas" w:eastAsia="Times New Roman" w:hAnsi="Consolas"/>
          <w:b w:val="false"/>
          <w:bCs w:val="false"/>
          <w:i w:val="false"/>
          <w:iCs w:val="false"/>
          <w:sz w:val="22"/>
          <w:szCs w:val="22"/>
        </w:rPr>
        <w:t xml:space="preserve"/>
      </w:r>
      <w:r>
        <w:rPr>
          <w:rFonts w:ascii="Times New Roman" w:cs="Times New Roman" w:eastAsia="Times New Roman" w:hAnsi="Times New Roman"/>
          <w:b w:val="false"/>
          <w:bCs w:val="false"/>
          <w:i w:val="false"/>
          <w:iCs w:val="false"/>
          <w:sz w:val="22"/>
          <w:szCs w:val="22"/>
        </w:rPr>
        <w:t xml:space="preserve"/>
      </w:r>
      <w:r>
        <w:rPr>
          <w:rFonts w:ascii="Consolas" w:cs="Consolas" w:eastAsia="Times New Roman" w:hAnsi="Consolas"/>
          <w:b w:val="false"/>
          <w:bCs w:val="false"/>
          <w:i w:val="false"/>
          <w:iCs w:val="false"/>
          <w:sz w:val="22"/>
          <w:szCs w:val="22"/>
        </w:rPr>
        <w:t xml:space="preserve"/>
      </w:r>
      <w:r>
        <w:rPr>
          <w:rFonts w:ascii="Times New Roman" w:cs="Times New Roman" w:eastAsia="Times New Roman" w:hAnsi="Times New Roman"/>
          <w:b w:val="false"/>
          <w:bCs w:val="false"/>
          <w:i w:val="false"/>
          <w:iCs w:val="false"/>
          <w:sz w:val="22"/>
          <w:szCs w:val="22"/>
        </w:rPr>
        <w:t xml:space="preserve"/>
      </w:r>
      <w:r>
        <w:rPr>
          <w:rFonts w:ascii="Consolas" w:cs="Consolas" w:eastAsia="Times New Roman" w:hAnsi="Consolas"/>
          <w:b w:val="false"/>
          <w:bCs w:val="false"/>
          <w:i w:val="false"/>
          <w:iCs w:val="false"/>
          <w:sz w:val="22"/>
          <w:szCs w:val="22"/>
        </w:rPr>
        <w:t xml:space="preserve"/>
      </w:r>
      <w:r>
        <w:rPr>
          <w:rFonts w:ascii="Times New Roman" w:cs="Times New Roman" w:eastAsia="Times New Roman" w:hAnsi="Times New Roman"/>
          <w:b w:val="false"/>
          <w:bCs w:val="false"/>
          <w:i w:val="false"/>
          <w:iCs w:val="false"/>
          <w:sz w:val="22"/>
          <w:szCs w:val="22"/>
        </w:rPr>
        <w:t xml:space="preserve"/>
      </w:r>
      <w:r>
        <w:rPr>
          <w:rFonts w:ascii="Consolas" w:cs="Consolas" w:eastAsia="Times New Roman" w:hAnsi="Consolas"/>
          <w:b w:val="false"/>
          <w:bCs w:val="false"/>
          <w:i w:val="false"/>
          <w:iCs w:val="false"/>
          <w:sz w:val="22"/>
          <w:szCs w:val="22"/>
        </w:rPr>
        <w:t xml:space="preserve"/>
      </w:r>
      <w:r>
        <w:rPr>
          <w:rFonts w:ascii="Times New Roman" w:cs="Times New Roman" w:eastAsia="Times New Roman" w:hAnsi="Times New Roman"/>
          <w:b w:val="false"/>
          <w:bCs w:val="false"/>
          <w:i w:val="false"/>
          <w:iCs w:val="false"/>
          <w:sz w:val="22"/>
          <w:szCs w:val="22"/>
        </w:rPr>
        <w:t xml:space="preserve"/>
      </w:r>
      <w:r>
        <w:rPr>
          <w:rFonts w:ascii="Consolas" w:cs="Consolas" w:eastAsia="Times New Roman" w:hAnsi="Consolas"/>
          <w:b w:val="false"/>
          <w:bCs w:val="false"/>
          <w:i w:val="false"/>
          <w:iCs w:val="false"/>
          <w:sz w:val="22"/>
          <w:szCs w:val="22"/>
        </w:rPr>
        <w:t xml:space="preserve"/>
      </w:r>
      <w:r>
        <w:rPr>
          <w:rFonts w:ascii="Times New Roman" w:cs="Times New Roman" w:eastAsia="Times New Roman" w:hAnsi="Times New Roman"/>
          <w:b w:val="false"/>
          <w:bCs w:val="false"/>
          <w:i w:val="false"/>
          <w:iCs w:val="false"/>
          <w:sz w:val="22"/>
          <w:szCs w:val="22"/>
        </w:rPr>
        <w:t xml:space="preserve"/>
      </w:r>
      <w:r>
        <w:rPr>
          <w:rFonts w:ascii="Consolas" w:cs="Consolas" w:eastAsia="Times New Roman" w:hAnsi="Consolas"/>
          <w:b w:val="false"/>
          <w:bCs w:val="false"/>
          <w:i w:val="false"/>
          <w:iCs w:val="false"/>
          <w:sz w:val="22"/>
          <w:szCs w:val="22"/>
        </w:rPr>
        <w:t xml:space="preserve"/>
      </w:r>
      <w:r>
        <w:rPr>
          <w:rFonts w:ascii="Times New Roman" w:cs="Times New Roman" w:eastAsia="Times New Roman" w:hAnsi="Times New Roman"/>
          <w:b w:val="false"/>
          <w:bCs w:val="false"/>
          <w:i w:val="false"/>
          <w:iCs w:val="false"/>
          <w:sz w:val="22"/>
          <w:szCs w:val="22"/>
        </w:rPr>
        <w:t xml:space="preserve"/>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 https://doi.org/10.1109/SPW53761.2021.00009.</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 https://doi.org/10.1109/CNS56114.2022.9947235.</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 https://doi.org/10.1007/978-3-031-31108-6_2.</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pp. 1850–1856, arXiv:2501.07475. https://doi.org/10.1109/TrustCom63139.2024.00255.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 https://doi.org/10.1109/SP.2010.25.</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 https://doi.org/10.5220/0006639801080116.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 https://doi.org/10.5220/0010774000003120.</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pp. 289–298, arXiv:2412.14021. https://doi.org/10.5220/0013131900003899.</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Machine learning in network intrusion detection: A cross-dataset generalization study, IEEE Access 12 (2024) 144489–144508. https://doi.org/10.1109/ACCESS.2024.3472907.</w:t>
      </w:r>
    </w:p>
    <w:p>
      <w:pPr>
        <w:spacing w:after="80" w:line="240"/>
        <w:ind w:left="480" w:hanging="480"/>
        <w:jc w:val="both"/>
      </w:pPr>
      <w:r>
        <w:rPr>
          <w:rFonts w:ascii="Times New Roman" w:cs="Times New Roman" w:eastAsia="Times New Roman" w:hAnsi="Times New Roman"/>
          <w:sz w:val="19"/>
          <w:szCs w:val="19"/>
        </w:rPr>
        <w:t xml:space="preserve">[15] S. Layeghy, M. Portmann, Explainable cross-domain evaluation of ML-based network intrusion detection systems, Computers and Electrical Engineering 108 (2023) 108692. https://doi.org/10.1016/j.compeleceng.2023.108692.</w:t>
      </w:r>
    </w:p>
    <w:p>
      <w:pPr>
        <w:spacing w:after="80" w:line="240"/>
        <w:ind w:left="480" w:hanging="480"/>
        <w:jc w:val="both"/>
      </w:pPr>
      <w:r>
        <w:rPr>
          <w:rFonts w:ascii="Times New Roman" w:cs="Times New Roman" w:eastAsia="Times New Roman" w:hAnsi="Times New Roman"/>
          <w:sz w:val="19"/>
          <w:szCs w:val="19"/>
        </w:rPr>
        <w:t xml:space="preserve">[16] M. Verkerken, L. D'hooge, T. Wauters, B. Volckaert, F. De Turck, Towards model generalization for intrusion detection: Unsupervised machine learning techniques, Journal of Network and Systems Management 30 (1) (2022) 12. https://doi.org/10.1007/s10922-021-09615-7.</w:t>
      </w:r>
    </w:p>
    <w:p>
      <w:pPr>
        <w:spacing w:after="80" w:line="240"/>
        <w:ind w:left="480" w:hanging="480"/>
        <w:jc w:val="both"/>
      </w:pPr>
      <w:r>
        <w:rPr>
          <w:rFonts w:ascii="Times New Roman" w:cs="Times New Roman" w:eastAsia="Times New Roman" w:hAnsi="Times New Roman"/>
          <w:sz w:val="19"/>
          <w:szCs w:val="19"/>
        </w:rPr>
        <w:t xml:space="preserve">[17] R. Geirhos, J.-H. Jacobsen, C. Michaelis, R. Zemel, W. Brendel, M. Bethge, F. A. Wichmann, Shortcut learning in deep neural networks, Nature Machine Intelligence 2 (2020) 665–673. https://doi.org/10.1038/s42256-020-00257-z.</w:t>
      </w:r>
    </w:p>
    <w:p>
      <w:pPr>
        <w:spacing w:after="80" w:line="240"/>
        <w:ind w:left="480" w:hanging="480"/>
        <w:jc w:val="both"/>
      </w:pPr>
      <w:r>
        <w:rPr>
          <w:rFonts w:ascii="Times New Roman" w:cs="Times New Roman" w:eastAsia="Times New Roman" w:hAnsi="Times New Roman"/>
          <w:sz w:val="19"/>
          <w:szCs w:val="19"/>
        </w:rPr>
        <w:t xml:space="preserve">[18]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[19]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[20] L. D'hooge, T. Wauters, B. Volckaert, F. De Turck, Inter-dataset generalization strength of supervised machine learning methods for intrusion detection, Journal of Information Security and Applications 54 (2020) 102564. https://doi.org/10.1016/j.jisa.2020.102564.</w:t>
      </w:r>
    </w:p>
    <w:p>
      <w:pPr>
        <w:spacing w:after="80" w:line="240"/>
        <w:ind w:left="480" w:hanging="480"/>
        <w:jc w:val="both"/>
      </w:pPr>
      <w:r>
        <w:rPr>
          <w:rFonts w:ascii="Times New Roman" w:cs="Times New Roman" w:eastAsia="Times New Roman" w:hAnsi="Times New Roman"/>
          <w:sz w:val="19"/>
          <w:szCs w:val="19"/>
        </w:rPr>
        <w:t xml:space="preserve">[21]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[22]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[23]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[24]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[25]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[26] K. Hendrickx, L. Perini, D. Van der Plas, W. Meert, J. Davis, Machine learning with a reject option: A survey, Machine Learning 113 (2024) 3073–3110. https://doi.org/10.1007/s10994-024-06534-x.</w:t>
      </w:r>
    </w:p>
    <w:p>
      <w:pPr>
        <w:spacing w:after="80" w:line="240"/>
        <w:ind w:left="480" w:hanging="480"/>
        <w:jc w:val="both"/>
      </w:pPr>
      <w:r>
        <w:rPr>
          <w:rFonts w:ascii="Times New Roman" w:cs="Times New Roman" w:eastAsia="Times New Roman" w:hAnsi="Times New Roman"/>
          <w:sz w:val="19"/>
          <w:szCs w:val="19"/>
        </w:rPr>
        <w:t xml:space="preserve">[27] J. Talpini, F. Sartori, M. Savi, Enhancing trustworthiness in ML-based network intrusion detection with uncertainty quantification, Journal of Reliable Intelligent Environments 10 (2024) 501–520. https://doi.org/10.1007/s40860-024-00238-8.</w:t>
      </w:r>
    </w:p>
    <w:p>
      <w:pPr>
        <w:spacing w:after="80" w:line="240"/>
        <w:ind w:left="480" w:hanging="480"/>
        <w:jc w:val="both"/>
      </w:pPr>
      <w:r>
        <w:rPr>
          <w:rFonts w:ascii="Times New Roman" w:cs="Times New Roman" w:eastAsia="Times New Roman" w:hAnsi="Times New Roman"/>
          <w:sz w:val="19"/>
          <w:szCs w:val="19"/>
        </w:rPr>
        <w:t xml:space="preserve">[28] D. Chicco, G. Jurman, The advantages of the Matthews correlation coefficient (MCC) over F1 score and accuracy in binary classification evaluation, BMC Genomics 21 (6) (2020). https://doi.org/10.1186/s12864-019-6413-7.</w:t>
      </w:r>
    </w:p>
    <w:p>
      <w:pPr>
        <w:spacing w:after="80" w:line="240"/>
        <w:ind w:left="480" w:hanging="480"/>
        <w:jc w:val="both"/>
      </w:pPr>
      <w:r>
        <w:rPr>
          <w:rFonts w:ascii="Times New Roman" w:cs="Times New Roman" w:eastAsia="Times New Roman" w:hAnsi="Times New Roman"/>
          <w:sz w:val="19"/>
          <w:szCs w:val="19"/>
        </w:rPr>
        <w:t xml:space="preserve">[29]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[30] R. Shwartz-Ziv, A. Armon, Tabular data: Deep learning is not all you need, Information Fusion 81 (2022) 84–90. https://doi.org/10.1016/j.inffus.2021.11.011.</w:t>
      </w:r>
    </w:p>
    <w:p>
      <w:pPr>
        <w:spacing w:after="80" w:line="240"/>
        <w:ind w:left="480" w:hanging="480"/>
        <w:jc w:val="both"/>
      </w:pPr>
      <w:r>
        <w:rPr>
          <w:rFonts w:ascii="Times New Roman" w:cs="Times New Roman" w:eastAsia="Times New Roman" w:hAnsi="Times New Roman"/>
          <w:sz w:val="19"/>
          <w:szCs w:val="19"/>
        </w:rPr>
        <w:t xml:space="preserve">[31]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[32]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[33] D. Magalhães, E. Maia, J. Vitorino, I. Praça, Machine unlearning for the XGBoost model with network intrusion datasets, in: Recent Trends and Challenges in Information Systems and Technologies (WorldCIST 2026), vol. 3, Springer, 2026, pp. 150–162, arXiv:2606.19220. https://doi.org/10.1007/978-3-032-32026-1_14.</w:t>
      </w:r>
    </w:p>
    <w:p>
      <w:pPr>
        <w:spacing w:after="80" w:line="240"/>
        <w:ind w:left="480" w:hanging="480"/>
        <w:jc w:val="both"/>
      </w:pPr>
      <w:r>
        <w:rPr>
          <w:rFonts w:ascii="Times New Roman" w:cs="Times New Roman" w:eastAsia="Times New Roman" w:hAnsi="Times New Roman"/>
          <w:sz w:val="19"/>
          <w:szCs w:val="19"/>
        </w:rPr>
        <w:t xml:space="preserve">[34]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[35]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[36]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[37] J. Snoek, Y. Ovadia, E. Fertig, B. Lakshminarayanan, S. Nowozin, D. Sculley, J. V. Dillon, J. Ren, Z. Nado, Can you trust your model’s uncertainty? Evaluating predictive uncertainty under dataset shift, in: Advances in Neural Information Processing Systems (NeurIPS), 2019.</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of Eleven Intrusion Detectors on GeNIS 2025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