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over 154 runs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Three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[16], and security is a domain where the stakes of the confusion are highest. Arp et al. catalogue the recurring pitfalls of security ML (sampling bias, spurious correlations, data snooping) and find them endemic in published work [17]. Two lines are directly upstream of ours. TESSERACT demonstrated that ignoring temporal structure inflates malware-classification results, and argued for chronologically consistent splits as a validity requirement rather than a robustness extra [18]. Closer to network flows, D'hooge et al. first measured how far supervised detection carries from one CICIDS corpus to the other, over twelve algorithms and one shared preprocessing pipeline, and found the transfer far weaker than the within-corpus scores suggest [19]. The same group then established the contaminating effect of metadata features in NIDS models: the destination port alone separates ten state-of-the-art IDS datasets at 70–100% accuracy, so any model given that feature learns a dataset artefact rather than traffic behaviour [20].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[21].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[22].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[23], and a detector whose confidence is miscalibrated cannot drive thresholded automation; temperature scaling [23] and selective classification with a reject option [24, 25] are the standard correctives, and uncertainty quantification is increasingly argued to be a first-class requirement for trustworthy NIDS [26]. Class imbalance interacts with all of this. Under the natural distribution of GeNIS (7.4% benign traffic at the 60-second interval), accuracy is close to vacuous and metrics such as macro-F1 and the Matthews correlation coefficient are the informative ones [27]. Finally, the tabular-learning literature gives strong prior reason to include tree ensembles alongside deep detectors. Gradient-boosted trees remain consistently competitive or superior on tabular data [28, 29], with attention-based architectures such as the FT-Transformer as the strongest deep contenders [30].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[31].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[32],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[33]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[20].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[30].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[18]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[34, 35].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[34, 35],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[36].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[18]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[34, 35],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[20],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[34, 35].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[20].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over three seeds and three intervals,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[17]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[18]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[19]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[20]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[21]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[22]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[23]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[24]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[25]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[26]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[27]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[28]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[29]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[30]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[31]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[32]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[33]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[34]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[35]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[36]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