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Detectors on the GeNIS 2025 Corpus: Calibration, Cost, and Protocol Robustness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and benchmark it over 154 runs across three feature conditions, two protocols and five seeds, with paired tests. Three findings have methodological implications, and we re-run the audit on CICIDS2017 to test the two it can reach.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per-class temporal split against a 19.4% majority. On CICIDS2017 it falls to 10.3%, so whether temporal splitting suffices is a corpus property to measure. The benign-trained autoencoder reached AUROC 0.0000 against PSH-ACK floods, below chance overall. For the corpus itself,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