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a campaign of 154 runs with paired significance tests. Three of the findings have methodological implications, and we re-run the audit on CICIDS2017 to test the two that an audit alone can reach. The first is that attribution-based auditing assigned near-zero importance to every behavioural shortcut we found. All eight score below 10⁻⁴, because they are mutually redundant and six of them are numerically identical columns. Isolated two-protocol evaluation exposed them, and CICIDS2017 carries seven such pairs whose fourteen columns include ten that score exactly zero. The second is that chronological evaluation alone did not neutralise the shortcut created by disjoint attack windows. A timestamp-only probe still reached 98.6% nine-class accuracy under a per-class temporal split, against a 19.4% majority rate. On CICIDS2017 it collapses to 10.3%, so the sufficiency of temporal splitting is a corpus property to be measured, not assumed. The third is that the benign-trained autoencoder was anti-correlated with volumetric floods, reaching AUROC 0.0000 against PSH-ACK floods, which reconstruct more easily than benign traffic. For the corpus itself, a random split saturates the task. Eleven model pairs are indistinguishable and the ranking is uninterpretable. Under temporal evaluation the FT-Transformer leads and the boosted trees that dominated fall behind every neural detector and the linear model. Calibration follows the same pattern, near-perfect under a random split and degrading for nine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which detectors perform best, but whether the first published numbers on a new corpus measure traffic patterns or artefacts of its generation.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a classifier given only the capture timestamp separates the nine classes at 99.70% accuracy, against a majority-class rate of 19.42%.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thirteen-feature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nine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before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positional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miscalibrated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further study from the same laboratory that uses the corpus for machine unlearning [30], a goal orthogonal to benchmarking. No group independent of the corpus authors has published on GeNIS, which is the position this paper is written into.</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keepLines/>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87.26%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which fixes the resolution of every false-positive rate in this paper (Section 4.5).</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with the code of Section 11, as </w:t>
      </w:r>
      <w:r>
        <w:rPr>
          <w:rFonts w:ascii="Consolas" w:cs="Consolas" w:eastAsia="Times New Roman" w:hAnsi="Consolas"/>
          <w:b w:val="false"/>
          <w:bCs w:val="false"/>
          <w:i w:val="false"/>
          <w:iCs w:val="false"/>
          <w:sz w:val="22"/>
          <w:szCs w:val="22"/>
        </w:rPr>
        <w:t xml:space="preserve">experiments/verify_4preprocessed.py</w:t>
      </w:r>
      <w:r>
        <w:rPr>
          <w:rFonts w:ascii="Times New Roman" w:cs="Times New Roman" w:eastAsia="Times New Roman" w:hAnsi="Times New Roman"/>
          <w:b w:val="false"/>
          <w:bCs w:val="false"/>
          <w:i w:val="false"/>
          <w:iCs w:val="false"/>
          <w:sz w:val="22"/>
          <w:szCs w:val="22"/>
        </w:rPr>
        <w:t xml:space="preserv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all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global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of its own class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The narrower question it answers is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is degenerate here and is reported as a property of the corpus rather than used as a protocol.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alone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temporal</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stratified</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and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a reader meeting them here should know that Section 9 retrains every detector under five alternative blacklists and reports what the choice costs. The audit is run over all behavioural features, not a shortlist. Section 6.2 shows why any shortlist derived from attribution scores would have been empty. Algorithm 1 states the procedure exactly as implemented, and the paragraph that follows it gives the settings of the probe.</w:t>
      </w:r>
    </w:p>
    <w:p>
      <w:pPr>
        <w:keepNext/>
        <w:keepLines/>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audit of Section 4.3, as implemented. Lines 3 to 6 are the transferability rule; line 7 is the capture-file test, which reads no label and catches what a ratio between protocols cannot.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11 and 12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c       the capture file each flow was read from</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ident(f)   := f takes at most two values in every file of c</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and those values order the files in time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blacklist := P, every f of B with flag(f) or ident(f)</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10                                                  # 4 + 8 + 1 = 13</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11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12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13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and 0.922 under the stratified protocol on validation and on test,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and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The second is what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w:t>
      </w:r>
      <w:r>
        <w:rPr>
          <w:rFonts w:ascii="Consolas" w:cs="Consolas" w:eastAsia="Times New Roman" w:hAnsi="Consolas"/>
          <w:b w:val="false"/>
          <w:bCs w:val="false"/>
          <w:i w:val="false"/>
          <w:iCs w:val="false"/>
          <w:sz w:val="22"/>
          <w:szCs w:val="22"/>
        </w:rPr>
        <w:t xml:space="preserve">experiments/e4a/verify_nested_blacklist.py</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above-chance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but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eight behavioural columns excluded by the rule, and one column excluded by neither, gives the thirteen of Table 3. Under the chance-corrected variant the behavioural count rises to thirteen and the blacklist to eighteen; that thirteen counts behavioural columns, and is not the thirteen of the list as a whole. Every count in this paper is one of those two, and Section 9 reports what separates them.</w:t>
      </w:r>
    </w:p>
    <w:p>
      <w:pPr>
        <w:spacing w:after="120" w:line="276"/>
        <w:jc w:val="both"/>
      </w:pPr>
      <w:r>
        <w:rPr>
          <w:rFonts w:ascii="Times New Roman" w:cs="Times New Roman" w:eastAsia="Times New Roman" w:hAnsi="Times New Roman"/>
          <w:b/>
          <w:bCs/>
          <w:i w:val="false"/>
          <w:iCs w:val="false"/>
          <w:sz w:val="22"/>
          <w:szCs w:val="22"/>
        </w:rPr>
        <w:t xml:space="preserve">A third criterion, and why the first two could not have found it. </w:t>
      </w:r>
      <w:r>
        <w:rPr>
          <w:rFonts w:ascii="Times New Roman" w:cs="Times New Roman" w:eastAsia="Times New Roman" w:hAnsi="Times New Roman"/>
          <w:b w:val="false"/>
          <w:bCs w:val="false"/>
          <w:i w:val="false"/>
          <w:iCs w:val="false"/>
          <w:sz w:val="22"/>
          <w:szCs w:val="22"/>
        </w:rPr>
        <w:t xml:space="preserve">One column is on the list for neither reason, and it is the one this audit came closest to missing.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takes one or two distinct values per capture file, and those values are absolute Unix timestamps: it identifies the file a flow was read from rather than anything the flow did. A decision tree given that column alone separates benign from attack traffic at an AUC of 1.0000. Every diagnostic in this paper passes it. Its transferability is 0.94, well clear of the 0.50 threshold. Under the nested audit of Section 4.3 it is 1.02, so single-feature accuracy is not lower under the temporal protocol but marginally higher. The residual audit of Section 6.2 ranks it in the middle of the retained columns. Attribution, meanwhile, gives it 0.2279, the highest permutation importance of any column in the corpus. The reason the rule misses it is structural and not accidental. A criterion built on the ratio between two protocols cannot see a leak that is frozen within each capture group, because such a leak is equally available on both sides of any split of that group. What gives the column away is not its association with the label but its values, and the test that finds it reads no labels at all — a column that is constant within every capture file, and whose values order those files in time, is a file identifier. We add that test to the procedure, and applied to all 63 behavioural candidates it returns this column and no other.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the one further column whose name suggests a position in the capture, is not constant within any file, and its rank correlation with capture order reaches only 0.13 at its highest across the eleven files. The test therefore does not return it and we do not exclude it, although on its own it separates the two classes of traffic well (binary AUC 0.9379 against a nine-class accuracy of 0.0601). Section 9 records that as an anomaly we have not resolved.</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on the validation metric it optimises; Section 6.5 shows that this guarantee does not carry over to the test partition. The budget is a declared time cap of 900 s per model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Seven detectors make up this group. They are a majority-class baseline, multinomial logistic regression, Gaussian naive Bayes and k-nearest neighbours, together with a random forest of 200 trees, XGBoost with 300 trees of depth 8 and histogram splits, and LightGBM with 300 trees and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exactly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with layer widths 64-32-16-32-64 is trained on benign flows only, and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because its O(n²) training is infeasible on 203 292 training flows within an equal budget, and because logistic regression already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LightGBM reaches macro-F1 1.0000 ± 0.0001 across five seeds, and XGBoost, random forest and the FT-Transformer 0.9999 ± 0.0001, and nine of the eleven detectors exceed 0.99. McNemar tests with Holm correction confirm what the point estimates suggest (Figure 9). Of the 45 model pairs, 11 are not significantly different at α = 0.05, and these include every pair among {XGBoost, LightGBM, random forest, FT-Transformer} as well as logistic regression against the RNN,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0.4464 with a 91.5% false-positive rate (4 604 of 5 030 benign flows misclassified), confirming that the near-perfect scores are a property of the corpus and the strong models, not of the metric. Figure 5 shows where the residual difficulty sits. For every strong detector the per-class F1 stays above 0.979 on all nine classes, the lowest being k-NN on benign traffic at 0.9796 and the RNN on bruteforce-ssh at 0.9822, and naive Bayes is the only model with class-level failures. Its worst class is bruteforce-ssh at 0.002, and its benign F1 of 0.156 is what the 91.5%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The majority baseline is not plotted; nine of the ten detectors shown are uniformly strong across all nine classes, the lowest single cell being 0.9796; only naive Bayes fails, and it fails on most classes at once, worst on bruteforce-ssh.</w:t>
      </w:r>
    </w:p>
    <w:p>
      <w:pPr>
        <w:keepNext/>
        <w:keepLines/>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0.0398</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0.9973</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 ± 0.0011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 ± 0.0046</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0.4771</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 ± 0.0037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0.9906</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0.2386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 ± 0.0012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1.7097</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 ± 0.0145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0.6142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91.5308</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retained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numerically identical columns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drawn apart because the capture-file test excludes it where neither of the other two criteria reaches it, carries an importance three orders of magnitude larger and yet appears far less predictive on its own — on the nine-class task. On the binary task it separates benign from attack traffic perfectly (AUC 1.0000), because it is a capture-file identifier and the two capture blocks are disjoint. Its vertical position here understates it, and Section 4.3 gives the measurement.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invoked above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keepLines/>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13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and the identifier column (id.) by the capture-file test of the same section, which neither of the other two criteria reaches. The quantities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 The identifier column carries the highest permutation importance of any column in the corpus and the highest transferability in this table, which is the whole point: neither criterion could have reached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IdleTime</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0.2279</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0.621</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IdleTime, at 0.94, is among the blue: this rule retains it, and the capture-file test of Section 4.3 is what excludes it. Under τ the gap between 0.49 and 0.54 places the threshold between two clusters; under τ* that gap narrows to 0.017 (Section 6.2 and Table 15).</w:t>
      </w:r>
    </w:p>
    <w:p>
      <w:pPr>
        <w:keepNext/>
        <w:spacing w:after="80" w:before="200"/>
        <w:jc w:val="center"/>
      </w:pPr>
      <w:r>
        <w:drawing>
          <ns2:inline distT="0" distB="0" distL="0" distR="0">
            <ns2:extent cx="3880866" cy="431673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3880866" cy="431673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features the name list and the transferability rule return costs almost nothing under the stratified protocol: XGBoost, LightGBM and random forest are unchanged to four decimals, and the largest loss among the eleven detectors is 0.0018 (k-NN). The recurrent and convolutional models in fact improve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for the wrong reason.</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0.9901, followed by logistic regression (0.9881), the CNN (0.9848) and the RNN (0.9837); the DNN follows at 0.9773, and XGBoost and LightGBM fall to 0.9666 and 0.9649, ahead only of k-NN at 0.9574 and random forest at 0.9530. The gradient-boosted models that were unbeatable under a random split fell behind every neural detector and the linear model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inside the leading four span 0.0064, from the FT-Transformer down to the RNN, which is the range in which the five-seed dispersion of the stratified protocol already sits, so none of those four should be read as established above another. What lies outside that range is the distance to the boosted ensembles: 0.0235 from the leader to XGBoost, five times the largest seed dispersion in Table 2 outside naive Bayes.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5-point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across their forty runs neither falls below 0.9998, with a single exception — LightGBM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0.0143% at worst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0.992.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spans 0.0002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keepLines/>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as published over 55 columns and not re-run under the correction of Section 9,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0.0015 for every model except logistic regression and naive Bayes, and for the eight of them temperature scaling moves it by less than 0.001 in either direction. Logistic regression is the one the corrected blacklist moved: its stratified error rises from 0.0003 to 0.0084 once the identifier column is withheld, and scaling brings it back to 0.0016. Naive Bayes is the exception in both respects. It starts at 0.1419 and temperature scaling makes it worse (0.2240),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no longer sit at the floor of the grid as they did under the published blacklist. XGBoost, LightGBM and random forest move to 0.85, 1.46 and 0.39. Withholding the identifier column removed the column that made their posteriors near-deterministic, and the temperature says so.</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the FT-Transformer, the RNN and the CNN untouched, for a reason worth separating from inertia: the search adopted no configuration at all for any of them, their tuned arm being their default arm. Where it did adopt one, it moves logistic regression by -0.0003, k-NN by +0.0033 and the DNN by -0.0046. It transforms only the model that was badly configured to begin with. Naive Bayes gains +0.0462, from 0.4464 to 0.4925, and still finishes last of the ten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loses 0.0046 on the test partition, and logistic regression inverts the same way on a smaller scale, +0.0005 against −0.0003. Of the four models whose search adopted a configuration at all, two moved down on the test partition after moving up on validation.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Nine of the eleven detectors are worse calibrated under the temporal protocol than under the stratified one. The tenth is the majority-class baseline, whose confidence does not depend on the split. The eleventh is logistic regression, and it goes the other way, at a ratio of 0.4 — not because its temporal error improved but because its stratified error rose to meet it once the identifier column was withheld. The degradation is not marginal: LightGBM moves from an expected calibration error of 0.000031 to 0.043588, a factor of 1403, XGBoost by a factor of 994, and the FT-Transformer from 0.000083 to 0.012069, a factor of 146. Those ratios are large because the stratified denominator is near zero, so the absolute change is the quantity to read. Among the nine that degrade, the expected calibration error rises by between 0.005 and 0.044 in absolute terms. A measure that does not depend on binning tells the same story. The Brier score of LightGBM moves from 0.000059 to 0.079437, of the FT-Transformer from 0.000295 to 0.023857, of XGBoost from 0.000079 to 0.055339 and of random forest from 0.000118 to 0.053395,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is no longer inert under the temporal protocol, and no longer dependable.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does move things, but not reliably in the right direction: it improves five of the eleven detectors and worsens six, and which way it goes cannot be read off the stratified behaviour. The clearest repair is k-NN, from 0.0303 to 0.0160, and the clearest harm is random forest, from 0.0234 to 0.0410, which nearly doubles the error the scaling was fitted to reduce. The FT-Transformer, which leads under this protocol, moves the wrong way too, from 0.0121 to 0.0135. The reason is visible in the fitted temperatures. Withholding the identifier column already moved the tree ensembles off the floor of the grid under the stratified protocol (XGBoost 0.85, LightGBM 1.46, random forest 0.39), so the single parameter no longer has one dominant kind of over-confidence to undo. Under the temporal protocol it is fitted on a validation window that sits closer to training than the test window does, and it transfers that mismatch. The practical consequence is narrow but real. A temperature fitted under a random split is the wrong temperature for deployment on traffic that postdates training, and on this corpus a temperature fitted on the temporal validation window is not reliably the right one either.</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so before reading them we checked that the computation reproduces itself. The check is the published feature condition, replayed through the same code and compared against the earlier recomputation: raw expected calibration error agrees to within 0.0031 across both protocols. After temperature scaling the agreement is uneven, and the asymmetry is the point. It is 0.0002 under the stratified protocol and 0.0075 under the temporal one, although the fits underneath reproduce equally well on both. What amplifies is the scaling. The likelihood surface is flat near its optimum, so a small change in the probabilities moves the fitted temperature far enough to move the calibrated error with it. The last column of Table 8 is therefore the least stable quantity this paper reports, and its caption says so. One further caveat is arithmetic rather than statistical. The grid is bounded at 0.05 below and 5 above, so the temperature reported for naive Bayes is the ceiling of that grid and the one reported for the FT-Transformer under the temporal protocol, 0.050, is its floor; neither is an optimum. Nothing in the comparison between the two protocols depends on those bounds, since both protocols are calibrated on the same grid.</w:t>
      </w:r>
    </w:p>
    <w:p>
      <w:pPr>
        <w:keepNext/>
        <w:keepLines/>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 is fitted by minimising negative log-likelihood on the validation partition over a grid bounded at 0.05 and 5, so the value for naive Bayes sits at the ceiling. Trials: random-search trials actually completed under the 900 s cap; the search was run on the twelve-column condition and is carried over unchanged.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1.455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3.076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0.1419</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0.2240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 The last column is the least stable quantity reported in this paper: replaying the same fits reproduces raw temporal ECE to within 0.0031, but the temperature that minimises validation likelihood sits on a flat surface, and the optimum moves enough to shift the calibrated error by up to 0.0075 for the random forest, whose posteriors are near-deterministic.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0.000031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0.043588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1403×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0.732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0.041791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0.028000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994×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0.367</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0.035252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0.000083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0.013501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0.023375</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0.040999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0.001499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4.190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0.016012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0.001453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0.020094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0.018289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0.007476</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0.008415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0.001408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0.006767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0.586</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0.006520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0.141884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0.167869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0.269970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0.008429</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0.003307</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0.951</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0.003616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worse than chance.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keepLines/>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better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five seeds, audited condition: the measurements of Table 9.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The two columns rank the detectors differently, and the difference is the deployment regime rather than a measurement artefact. On batched throughput, logistic regression dominates outright at 601 449 flows/s, followed by random forest (58 151) and the DNN (51 972), with XGBoost fourth at 42 687. On single-flow latency the order inverts: random forest and the DNN need 55 and 77 ms per flow, where XGBoost answers in 1.22 ms and LightGBM in 1.55 ms. High batched throughput and low per-flow latency are not the same property, and only logistic regression leads both. The FT-Transformer is last on both, at 548 flows/s — 78 times below XGBoost, and its own lead comes only under the temporal protocol. The worst of both worlds is k-NN, paying 621 flows/s, 25.8 ms and 11.4 MB for a temporal macro-F1 of 0.9574, eighth of nine. One caveat governs how the latency column may be read. The four Keras models return median latencies inside a 4.4% band (76.8 to 80.1 ms) although their batched throughput differs by a factor of 95, so that column is dominated by a fixed per-call overhead of the prediction API and is not comparable with the scikit-learn column. The throughput column does amortise that overhead. One call covers 10 240 flows at batch size 512, so the overhead is paid once. An earlier version of this measurement looped twenty separate calls of 512 flows and therefore paid it twenty times, which inflated nothing but suppressed the throughput of every detector that has such an overhead — the four Keras models, and random forest through its parallel backend. That is why the two columns are now informative separately.</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logistic regression is the defensible default, and the margin is not close. It is ahead of XGBoost on four of the five axes we measure for both: 601 449 flows/s against 42 687, 0.14 ms against 1.22 at the median and 0.25 against 5.89 at the 99th percentile, and a temporal macro-F1 of 0.9881 against 0.9666, in a model of negligible size. Its single deficit is stratified macro-F1, at 0.9963 against 0.9999 — which is the quantity Section 6.1 finds saturated and Figure 9 finds statistically indistinguishable across eleven pairs. Only the FT-Transformer beats it under the temporal protocol, at 0.9901, 0.0020 above, and that costs 1 097 times more per flow. Random forest shows why both cost columns have to be read: second on batched throughput at 58 151 flows/s, yet 55 ms per flow, 45 times XGBoost's median latency.</w:t>
      </w:r>
    </w:p>
    <w:p>
      <w:pPr>
        <w:keepNext/>
        <w:keepLines/>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on the audited condition as corrected in Section 9, over 54 columns. Latency is measured at batch size 1 over 200 samples. All detectors were measured within one session, with the Keras models pinned to the CPU and each library left at its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 Throughput is one call over 10 240 flows at batch size 512, which amortises the per-call overhead once rather than twenty times; an earlier measurement looped twenty calls of 512 and is not comparable with this column. Model size and the majority-class row are carried over unchanged: the first is not re-measured, the second predicts a constant and marks a floor rather than a comparison.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42 687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1.55</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6 090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55.16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67.36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58 151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168.85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548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601 449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147.63</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22 217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76.76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154.96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28 580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51 972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621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229 694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Both axes are the audited condition as corrected in Section 9. Throughput spans three orders of magnitude, and no detector occupies the top-right corner: the FT-Transformer buys the best quality at the worst throughput, logistic regression is within 0.0020 of it at 1 097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ten of the eleven detectors at five rolling origins, the FT-Transformer excepted for the cost recorded in Section 9,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on the audited condition as published and not re-run under the correction of Section 9. Eight detectors are plotted and the vertical axis is broken. Four of them stay inside the upper 0.03 band at every origin; the two boosted ensembles leave it at the two earliest origins, which the lower panel resolves, and the RNN at 0.45 and the DNN at 0.40 dip below it without a panel of their own.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for five of the eleven detectors and on the audited condition as published.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That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keepLines/>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0.9901, but it processes 548 flows per second, 78 times fewer than XGBoost. XGBoost falls behind every neural detector and the linear model on quality at 0.9666 and is fourth on batched throughput at 42 687 flows per second, but it answers a single flow in 1.22 ms where the three detectors above it on throughput need 0.14 to 77 ms,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0.9881 under the temporal protocol, second overall and ahead of both gradient-boosted ensembles and every recurrent or dense network, at 601 449 flows per second and a negligible model footprint. Its fitted temperature of 0.68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never falls below 0.9998 across its twenty runs, with a zero false-positive rate at every interval. The DNN is not: it falls from 0.9968 at 60 s to about 0.849 at 30 s on four of five seeds, with a fifth at 0.9879, and to roughly 0.51 at 10 and 5 s, with false-positive rates of 34 and 39% at the two shortest intervals. Combined with its weak showing under the temporal protocol (0.9773),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0.0015 for every model except logistic regression and naive Bayes, so calibration in the usual sense is not the discriminating criterion there. Under the temporal protocol it becomes one: nine of the eleven detectors degrade, and the three best calibrated under a random split, the two boosted ensembles and the FT-Transformer, degrade by factors of 146 to 1403 (Section 6.5). A detector selected on its stratified calibration is therefore selected on a quantity that does not survive the protocol this paper argues for. The fitted temperatures no longer separate the families: 0.39 to 1.46 for the three tree ensembles against 0.68 to 1.35 for the neural models and logistic regression, two overlapping ranges. Withholding the identifier column is what closed the gap, by removing what made the tree posteriors near-deterministic. Under the twelve-column condition the ensembles sat at 0.05 to 0.09, the floor of the search grid. A temperature far below one is the signature of near-deterministic posteriors, which is harmless when the argmax is all that is consumed, and a real limitation when the downstream system pools probabilities, prioritises alerts by confidence, or defers on a rejection threshold. On the corrected condition only random forest, at 0.39, is far enough below one for that to bite, so this is a property of one detector rather than of the tree family.</w:t>
      </w:r>
    </w:p>
    <w:p>
      <w:pPr>
        <w:spacing w:after="120" w:line="276" w:lineRule="auto"/>
        <w:jc w:val="both"/>
      </w:pPr>
      <w:r>
        <w:rPr>
          <w:b/>
          <w:bCs/>
        </w:rPr>
        <w:t xml:space="preserve">What we would deploy on this corpus.</w:t>
      </w:r>
      <w:r>
        <w:t xml:space="preserve"> Logistic regression as the default. It is ahead of XGBoost on four of the five axes we measure for both — batched throughput, median latency, tail latency and temporal macro-F1 — and behind on one, stratified macro-F1, which is the axis this paper spends its length arguing is not interpretable on this corpus. XGBoost where the aggregation interval is outside the deployer's control: it is the only detector shown to hold macro-F1 at or above 0.9999 at 5, 10, 30 and 60 s, and it is unchanged to four decimals by tuning. That is not a comparison with logistic regression, which the interval study does not cover, and stating it as one would be the error this paper documents elsewhere. The FT-Transformer only where 0.0020 of temporal macro-F1 is worth 1 097 times the cost per flow, and noting that its lead was obtained with a single untuned configuration. Random forest has the second-highest batched throughput at 58 151 flows/s, but needs 55 ms per flow and is last of the nine on temporal quality, so it is dominated wherever either of those binds. The k-nearest neighbours detector does not scale (621 flows/s, 11.4 MB, and fitted on a capped 50 000-flow subsample), and naive Bayes is not competitive at 0.4843. One limit applies to all of this. The temporal protocol yields a single deterministic partition, so the temporal column carries no variance estimate and small gaps in it should not be over-read.</w:t>
      </w:r>
    </w:p>
    <w:p>
      <w:pPr>
        <w:keepNext/>
        <w:keepLines/>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The majority baseline is omitted, since it predicts a constant and has no viability to report. Interval robustness was measured for the three detectors carried through the multi-interval study; a fitted temperature far below one indicates near-deterministic posteriors rather than miscalibration. Throughput is the amortised measurement of Table 10, on the same corrected condition.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548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601 449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0.9848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28 580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22 217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0.9773</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51 972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1.35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42 687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0.85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6 090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1.46</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0.9574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621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3.08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58 151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0.39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0.4843</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229 694</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5.00</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keepLines/>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0.95, ordered by macro-F1. Naive Bayes and the majority baseline are omitted because both fall far below the colour scale, which is clipped at 0.80, the lowest value in the table being 0.814. Two classes remain free for every detector, dos-icmp within 0.0001 and dos-udp within 0.0006. What changed with the corrected blacklist is that the loss no longer disperses: it concentrates on dos-hulk and dos-slowloris, where the DNN, XGBoost, LightGBM, k-NN and random forest all fall below 0.93, and elsewhere only random forest on benign and k-NN on bruteforce-smb drop that far. The lowest cell is random forest on dos-hulk at 0.814, against 0.957 for the leading detector's worst class; eleven of those twelve cells sat above 0.93 under the published blacklist. The same quantities under the stratified protocol stay above 0.979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and carries no column of reported accuracies.</w:t>
      </w:r>
    </w:p>
    <w:p>
      <w:pPr>
        <w:keepNext/>
        <w:keepLines/>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i w:val="false"/>
          <w:iCs w:val="false"/>
          <w:sz w:val="22"/>
          <w:szCs w:val="22"/>
        </w:rPr>
        <w:t xml:space="preserve">A leak our own criterion could not see. </w:t>
      </w:r>
      <w:r>
        <w:rPr>
          <w:rFonts w:ascii="Times New Roman" w:cs="Times New Roman" w:eastAsia="Times New Roman" w:hAnsi="Times New Roman"/>
          <w:b w:val="false"/>
          <w:bCs w:val="false"/>
          <w:i w:val="false"/>
          <w:iCs w:val="false"/>
          <w:sz w:val="22"/>
          <w:szCs w:val="22"/>
        </w:rPr>
        <w:t xml:space="preserve">The transferability criterion has a blind spot that this corpus contains an instance of, and we found it late. A ratio between two protocols measures how much of a column's predictive power fails to survive the change. A leak frozen within each capture group loses nothing, because it is equally available on both sides of any split of that group, so the ratio reports it as signal.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is that instance: transferability 0.94 under the published rule, 1.02 under the nested audit, unremarkable in the residual audit, and a binary AUC of 1.0000. It sat in the audited condition of the campaign this paper reports. The test that finds it is in Section 4.3 and reads no labels; it is cheap, and we recommend running it before any transferability audit rather than after. Two things about the episode are worth stating plainly. The first is that attribution did not miss this column — it ranked it first, at 0.2279 — so the failure was ours in reading a high importance as evidence of signal, which is the mirror of the error Section 6.2 documents in the other direction. The second is that our own criterion was documented as having this limit before we hit it, and documenting a limit is not the same as guarding against it. What the omission cost we measured rather than assumed, by retraining every detector under both protocols with the column removed: at most 0.0038 of macro-F1 under the stratified protocol and 0.0263 under the temporal one, a ratio of 7 between protocols, the same signature the other twelve exclusions show. No conclusion of this paper turns on it, and one is sharpened, since under the corrected list the two boosted ensembles fall further from the top of the temporal ranking than they already did. One column adjacent to this question stays unresolved.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is not constant within a capture file, so the new test does not return it, yet a tree given it alone separates benign from attack traffic at an AUC of 0.9379 while classifying the nine classes at 0.0601, below the majority-class rate. We report it and retain the column, because excluding it would mean excluding on suspicion rather than on a stated criterion, which is the practice this paper argues against.</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eighteen-feature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eighteen-feature exclusion and observing whether macro-F1 holds, which we did not run and which we flag as the immediate next experiment on this corpus.</w:t>
      </w:r>
    </w:p>
    <w:p>
      <w:pPr>
        <w:keepNext/>
        <w:keepLines/>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That table counts columns and not consequences. What the choice costs in detection is measured further down in this section, for four of these lists and under both protocols.</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keepLines/>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but not the identifier column, which no threshold on this ratio reaches, so the operative row reads twelve where the published blacklist has thirteen, and the τ* column seventeen where Sections 9 and 10 give eighteen. The operative row is the rule this paper applies. Computed from the released transferability table by </w:t>
      </w:r>
      <w:r>
        <w:rPr>
          <w:rFonts w:ascii="Consolas" w:cs="Consolas" w:eastAsia="Calibri" w:hAnsi="Consolas"/>
          <w:b w:val="false"/>
          <w:bCs w:val="false"/>
          <w:i w:val="false"/>
          <w:iCs w:val="false"/>
          <w:sz w:val="18"/>
          <w:szCs w:val="18"/>
        </w:rPr>
        <w:t xml:space="preserve">paper/sensitivity_threshold.py</w:t>
      </w:r>
      <w:r>
        <w:rPr>
          <w:rFonts w:ascii="Calibri" w:cs="Calibri" w:eastAsia="Calibri" w:hAnsi="Calibri"/>
          <w:b w:val="false"/>
          <w:bCs w:val="false"/>
          <w:i w:val="false"/>
          <w:iCs w:val="false"/>
          <w:sz w:val="18"/>
          <w:szCs w:val="18"/>
        </w:rPr>
        <w:t xml:space="preserve">,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no behavioural exclusion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One of those six controls is IdleTime, which Section 9 excludes on a criterion this figure does not apply; dropping it lowers the controls' average loss to 0.128 and widens the gap, so the figure as drawn is the conservative reading.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We cannot claim that this leaves the reported accuracies untouched. Re-fitting the FT-Transformer in a later session moved its temporal macro-F1 by 0.0187, more than the effect that the feature correction reported above measures, and the runtime records neither which accelerator served a given run nor whether one was attached at all, so the two cannot be separated after the fact. What the confound does not weaken is the FT-Transformer's temporal-protocol lead, obtained with a single and essentially untuned configuration, since a smaller search budget cannot flatter it.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sixth and seventh of nine, behind every neural detector and the linear model. Calibration follows the same pattern: near-perfect under a random split, it degrades under temporal evaluation for nine of the eleven detectors, by factors of 146 to 1403 for the three that the random split ranks best calibrated, so calibration measured under a random split describes the split rather than the detector. We publish a thirteen-feature blacklist together with the full transferability spectrum under both normalisations, from which a stricter eighteen-feature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w:t>
      </w:r>
      <w:r>
        <w:rPr>
          <w:rFonts w:ascii="Consolas" w:cs="Consolas" w:eastAsia="Times New Roman" w:hAnsi="Consolas"/>
          <w:b w:val="false"/>
          <w:bCs w:val="false"/>
          <w:i w:val="false"/>
          <w:iCs w:val="false"/>
          <w:sz w:val="22"/>
          <w:szCs w:val="22"/>
        </w:rPr>
        <w:t xml:space="preserve">experiments/e2</w:t>
      </w:r>
      <w:r>
        <w:rPr>
          <w:rFonts w:ascii="Times New Roman" w:cs="Times New Roman" w:eastAsia="Times New Roman" w:hAnsi="Times New Roman"/>
          <w:b w:val="false"/>
          <w:bCs w:val="false"/>
          <w:i w:val="false"/>
          <w:iCs w:val="false"/>
          <w:sz w:val="22"/>
          <w:szCs w:val="22"/>
        </w:rPr>
        <w:t xml:space="preserve">, and the two-protocol calibration and residual redundancy of Sections 6.2 and 6.5 under </w:t>
      </w:r>
      <w:r>
        <w:rPr>
          <w:rFonts w:ascii="Consolas" w:cs="Consolas" w:eastAsia="Times New Roman" w:hAnsi="Consolas"/>
          <w:b w:val="false"/>
          <w:bCs w:val="false"/>
          <w:i w:val="false"/>
          <w:iCs w:val="false"/>
          <w:sz w:val="22"/>
          <w:szCs w:val="22"/>
        </w:rPr>
        <w:t xml:space="preserve">experiments/e3</w:t>
      </w:r>
      <w:r>
        <w:rPr>
          <w:rFonts w:ascii="Times New Roman" w:cs="Times New Roman" w:eastAsia="Times New Roman" w:hAnsi="Times New Roman"/>
          <w:b w:val="false"/>
          <w:bCs w:val="false"/>
          <w:i w:val="false"/>
          <w:iCs w:val="false"/>
          <w:sz w:val="22"/>
          <w:szCs w:val="22"/>
        </w:rPr>
        <w:t xml:space="preserve">, each with the notebook that produced it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The correction of Section 9 is a third addition and it does retrain: the capture-file test that identifies the offending column is under </w:t>
      </w:r>
      <w:r>
        <w:rPr>
          <w:rFonts w:ascii="Consolas" w:cs="Consolas" w:eastAsia="Times New Roman" w:hAnsi="Consolas"/>
          <w:b w:val="false"/>
          <w:bCs w:val="false"/>
          <w:i w:val="false"/>
          <w:iCs w:val="false"/>
          <w:sz w:val="22"/>
          <w:szCs w:val="22"/>
        </w:rPr>
        <w:t xml:space="preserve">experiments/e7</w:t>
      </w:r>
      <w:r>
        <w:rPr>
          <w:rFonts w:ascii="Times New Roman" w:cs="Times New Roman" w:eastAsia="Times New Roman" w:hAnsi="Times New Roman"/>
          <w:b w:val="false"/>
          <w:bCs w:val="false"/>
          <w:i w:val="false"/>
          <w:iCs w:val="false"/>
          <w:sz w:val="22"/>
          <w:szCs w:val="22"/>
        </w:rPr>
        <w:t xml:space="preserve">, and the campaign that repeats the audited condition without it — 180 runs over fifteen configurations, two feature conditions, both protocols and five seeds, together with the re-measured inference cost and the paired tests of Figures 9 and 11 — is under </w:t>
      </w:r>
      <w:r>
        <w:rPr>
          <w:rFonts w:ascii="Consolas" w:cs="Consolas" w:eastAsia="Times New Roman" w:hAnsi="Consolas"/>
          <w:b w:val="false"/>
          <w:bCs w:val="false"/>
          <w:i w:val="false"/>
          <w:iCs w:val="false"/>
          <w:sz w:val="22"/>
          <w:szCs w:val="22"/>
        </w:rPr>
        <w:t xml:space="preserve">experiments/e8</w:t>
      </w:r>
      <w:r>
        <w:rPr>
          <w:rFonts w:ascii="Times New Roman" w:cs="Times New Roman" w:eastAsia="Times New Roman" w:hAnsi="Times New Roman"/>
          <w:b w:val="false"/>
          <w:bCs w:val="false"/>
          <w:i w:val="false"/>
          <w:iCs w:val="false"/>
          <w:sz w:val="22"/>
          <w:szCs w:val="22"/>
        </w:rPr>
        <w:t xml:space="preserve">, again with its notebook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Tables 2, 7, 8, 10 and 13 and Figures 5, 9, 10, 11, 14 and 18 are computed from that campaign by the scripts under </w:t>
      </w:r>
      <w:r>
        <w:rPr>
          <w:rFonts w:ascii="Consolas" w:cs="Consolas" w:eastAsia="Times New Roman" w:hAnsi="Consolas"/>
          <w:b w:val="false"/>
          <w:bCs w:val="false"/>
          <w:i w:val="false"/>
          <w:iCs w:val="false"/>
          <w:sz w:val="22"/>
          <w:szCs w:val="22"/>
        </w:rPr>
        <w:t xml:space="preserve">paper/</w:t>
      </w:r>
      <w:r>
        <w:rPr>
          <w:rFonts w:ascii="Times New Roman" w:cs="Times New Roman" w:eastAsia="Times New Roman" w:hAnsi="Times New Roman"/>
          <w:b w:val="false"/>
          <w:bCs w:val="false"/>
          <w:i w:val="false"/>
          <w:iCs w:val="false"/>
          <w:sz w:val="22"/>
          <w:szCs w:val="22"/>
        </w:rPr>
        <w:t xml:space="preserve">, each of which asserts the counts it reproduces. The disposition of every column is released in machine-readable form as </w:t>
      </w:r>
      <w:r>
        <w:rPr>
          <w:rFonts w:ascii="Consolas" w:cs="Consolas" w:eastAsia="Times New Roman" w:hAnsi="Consolas"/>
          <w:b w:val="false"/>
          <w:bCs w:val="false"/>
          <w:i w:val="false"/>
          <w:iCs w:val="false"/>
          <w:sz w:val="22"/>
          <w:szCs w:val="22"/>
        </w:rPr>
        <w:t xml:space="preserve">paper/blacklist.csv</w:t>
      </w:r>
      <w:r>
        <w:rPr>
          <w:rFonts w:ascii="Times New Roman" w:cs="Times New Roman" w:eastAsia="Times New Roman" w:hAnsi="Times New Roman"/>
          <w:b w:val="false"/>
          <w:bCs w:val="false"/>
          <w:i w:val="false"/>
          <w:iCs w:val="false"/>
          <w:sz w:val="22"/>
          <w:szCs w:val="22"/>
        </w:rPr>
        <w:t xml:space="preserve">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w:t>
      </w:r>
      <w:r>
        <w:rPr>
          <w:rFonts w:ascii="Consolas" w:cs="Consolas" w:eastAsia="Times New Roman" w:hAnsi="Consolas"/>
          <w:b w:val="false"/>
          <w:bCs w:val="false"/>
          <w:i w:val="false"/>
          <w:iCs w:val="false"/>
          <w:sz w:val="22"/>
          <w:szCs w:val="22"/>
        </w:rPr>
        <w:t xml:space="preserve">paper/make_blacklist_csv.py</w:t>
      </w:r>
      <w:r>
        <w:rPr>
          <w:rFonts w:ascii="Times New Roman" w:cs="Times New Roman" w:eastAsia="Times New Roman" w:hAnsi="Times New Roman"/>
          <w:b w:val="false"/>
          <w:bCs w:val="false"/>
          <w:i w:val="false"/>
          <w:iCs w:val="false"/>
          <w:sz w:val="22"/>
          <w:szCs w:val="22"/>
        </w:rPr>
        <w:t xml:space="preserve">,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 https://doi.org/10.1109/SPW53761.2021.00009.</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 https://doi.org/10.1109/CNS56114.2022.9947235.</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 https://doi.org/10.1007/978-3-031-31108-6_2.</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pp. 1850–1856, arXiv:2501.07475. https://doi.org/10.1109/TrustCom63139.2024.00255.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 https://doi.org/10.1109/SP.2010.25.</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 https://doi.org/10.5220/0006639801080116.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 https://doi.org/10.5220/0010774000003120.</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pp. 289–298, arXiv:2412.14021. https://doi.org/10.5220/0013131900003899.</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Machine learning in network intrusion detection: A cross-dataset generalization study, IEEE Access 12 (2024) 144489–144508. https://doi.org/10.1109/ACCESS.2024.3472907.</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 https://doi.org/10.1038/s42256-020-00257-z.</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 https://doi.org/10.1007/s10994-024-06534-x.</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 https://doi.org/10.1007/s40860-024-00238-8.</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 https://doi.org/10.1186/s12864-019-6413-7.</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 https://doi.org/10.1016/j.inffus.2021.11.011.</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 Maia, J. Vitorino, I. Praça, Machine unlearning for the XGBoost model with network intrusion datasets, in: Recent Trends and Challenges in Information Systems and Technologies (WorldCIST 2026), vol. 3, Springer, 2026, pp. 150–162, arXiv:2606.19220. https://doi.org/10.1007/978-3-032-32026-1_14.</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