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Detectors on the GeNIS 2025 Corpus: Calibration, Cost, and Protocol Robustness under the Natural Distribution</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and benchmark it over 154 runs across three feature conditions, two protocols and five seeds, with paired tests. Three findings have methodological implications, and we re-run the audit on CICIDS2017 to test the two it can reach.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per-class temporal split against a 19.4% majority. On CICIDS2017 it falls to 10.3%, so whether temporal splitting suffices is a corpus property to measure. The benign-trained autoencoder reached AUROC 0.0000 against PSH-ACK floods, below chance overall. For the corpus itself,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temporal evaluation, model calibration,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over three seeds and three intervals,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