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[13], and security is a domain where the stakes of the confusion are highest. Arp et al. catalogue the recurring pitfalls of security ML (sampling bias, spurious correlations, data snooping) and find them endemic in published work [14]. Two lines are directly upstream of ours. TESSERACT demonstrated that ignoring temporal structure inflates malware-classification results, and argued for chronologically consistent splits as a validity requirement rather than a robustness extra [15].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[16].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[17], and a detector whose confidence is dishonest cannot drive thresholded automation; temperature scaling [17] and selective classification with a reject option [18, 19] are the standard correctives, and uncertainty quantification is increasingly argued to be a first-class requirement for trustworthy NIDS [20]. Class imbalance interacts with all of this: under the natural distribution of GeNIS (7.4% benign traffic at the 60-second interval), accuracy is close to vacuous and metrics such as macro-F1 and the Matthews correlation coefficient are the informative ones [21]. Finally, the tabular-learning literature gives strong prior reason to include tree ensembles alongside deep detectors: gradient-boosted trees remain consistently competitive or superior on tabular data [22, 23], with attention-based architectures such as the FT-Transformer as the strongest deep contenders [24].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[25],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[26]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[16].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[24].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[15]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[27, 28].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[27, 28],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[29].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 The requirement that evaluation be chronologically consistent [15]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what was not. </w:t>
      </w:r>
      <w:r>
        <w:rPr>
          <w:rFonts w:ascii="Times New Roman" w:cs="Times New Roman" w:eastAsia="Times New Roman" w:hAnsi="Times New Roman"/>
          <w:b w:val="false"/>
          <w:bCs w:val="false"/>
          <w:i w:val="false"/>
          <w:iCs w:val="false"/>
          <w:sz w:val="22"/>
          <w:szCs w:val="22"/>
        </w:rPr>
        <w:t xml:space="preserve">Three of the seven pairs are not new, and it matters that they are not. Rosay et al. [10], re-extracting the corpus from its packet captures with their own exporter, report feature duplication as one of five categories of defect in the released files, and among the pairs they name are Fwd Packet Length Mean with Avg Fwd Segment Size, Bwd Packet Length Mean with Avg Bwd Segment Size, and the repeated Fwd Header Length column. Our check returns those three and four they do not name: Total Fwd Packets with Subflow Fwd Packets, Total Backward Packets with Subflow Bwd Packets, Fwd PSH Flags with SYN Flag Count, and Fwd URG Flags with CWE Flag Count. It also fails to return one pair they describe as duplicated, Average Packet Size and Packet Length Mean: the two are duplicated by definition but not numerically, taking 37 309 and 38 163 distinct values in the released files and classifying at 0.930 and 0.922, which is what their separate finding of miscalculated features would predict. We report the discrepancy rather than resolve it, since resolving it would require the exporter comparison that is their contribution and not ours.</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three of these pairs have been in the public record since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[27, 28],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[16],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already documented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[27, 28];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[16];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[14]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[15]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[16]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[17]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[18]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[19]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[20]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[21]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[22]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[23]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[24]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[25]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[26]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[27]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[28]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[29]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