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Network intrusion detection is benchmarked on shared corpora, and the first numbers published on a new corpus tend to become its reference numbers. GeNIS, released in 2025 from an independent CyberRange capture, is at that stage. We audit and benchmark it with eleven supervised detectors and one unsupervised detector, across three feature conditions, two evaluation protocols and five seeds on the primary condition: 154 training runs with paired significance testing. Three findings have methodological implications beyond this corpus, and we test the two that are testable by repeating the audit, though not the benchmark, on CICIDS2017. First, on GeNIS, attribution-based auditing assigned near-zero importance to the behavioural shortcuts we found: all eight have permutation importance below 10⁻⁴ because they are mutually redundant, and six are numerically identical columns. The mechanism is structural rather than incidental, since perturbing one of several identical columns leaves the information carried by the others intact; our transferability audit, which evaluates each feature in isolation under two protocols, exposed them. Second, on GeNIS, chronological evaluation alone did not neutralise the capture-schedule shortcut created by disjoint attack windows: a timestamp-only classifier still reached 98.6% nine-class accuracy under our per-class temporal protocol, against 99.7% under a random split and a 19.4% majority-class rate, so feature exclusion was required in addition to temporal ordering; on CICIDS2017, whose benign traffic runs concurrently with the attacks, the same probe collapses to 10.3% under the same protocol, so the sufficiency of temporal splitting is a property of the corpus and has to be measured rather than assumed. Third, the benign-trained autoencoder evaluated here was anti-correlated with volumetric floods, reaching AUROC 0.0000 against PSH-ACK floods, because flood traffic reconstructs more easily than legitimate traffic in this benchmark. For the corpus itself, the nine-class task is saturated under a random split, where eleven model pairs are statistically indistinguishable and the leaderboard is uninterpretable; the ranking becomes meaningful only under temporal evaluation, where the FT-Transformer leads at macro-F1 0.9966 and the gradient-boosted trees that dominate the random split fall to mid-table. We release a twelve-feature blacklist, the full transferability spectrum under two normalisations, frozen splits, calibrated operating points, single-host CPU inference cost for every detector, and the trained models, so that subsequent work on GeNIS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repeats the audit on a second corpus, and Sections 8–9 discuss their scope and limits.</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Meanwhile, the most-cited benchmark on that corpus [10],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[11]. Its authors' companion study [6] validates binary and multiclass classification with five feature-selection methods over tree ensembles and deep networks, and stands as the official baseline this paper is anchored to.</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[12], and security is a domain where the stakes of the confusion are highest. Arp et al. catalogue the recurring pitfalls of security ML (sampling bias, spurious correlations, data snooping) and find them endemic in published work [13]. Two lines are directly upstream of ours. TESSERACT demonstrated that ignoring temporal structure inflates malware-classification results, and argued for chronologically consistent splits as a validity requirement rather than a robustness extra [14].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[15].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[16], and a detector whose confidence is dishonest cannot drive thresholded automation; temperature scaling [16] and selective classification with a reject option [17, 18] are the standard correctives, and uncertainty quantification is increasingly argued to be a first-class requirement for trustworthy NIDS [19]. Class imbalance interacts with all of this: under the natural distribution of GeNIS (7.4% benign traffic at the 60-second interval), accuracy is close to vacuous and metrics such as macro-F1 and the Matthews correlation coefficient are the informative ones [20]. Finally, the tabular-learning literature gives strong prior reason to include tree ensembles alongside deep detectors: gradient-boosted trees remain consistently competitive or superior on tabular data [21, 22], with attention-based architectures such as the FT-Transformer as the strongest deep contenders [23]. Inference cost is one dimension the GeNIS baseline already reports [6]; calibration, selective operating points, and confidence-bearing comparison are not, and this paper adds them to the same protocol.</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[24],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reaches 0.9947 with a macro-F1 of 0.9102, from 76 distinct values. Silva et al. exclude those columns from their experiments, so their reported results are unaffected; the observation concerns the module as distributed, which a subsequent study may load directly. Our artefact releases the two inspection scripts that produce these numbers.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[10]</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[15]</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[19]</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[25]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1 gives the class distribution of that task.</w:t>
      </w:r>
    </w:p>
    <w:p>
      <w:pPr>
        <w:keepNext/>
        <w:spacing w:after="80" w:before="200"/>
        <w:jc w:val="center"/>
      </w:pPr>
      <w:r>
        <w:drawing>
          <wp:inline distT="0" distB="0" distL="0" distR="0">
            <wp:extent cx="5267325"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67325" cy="34290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 </w:t>
      </w:r>
      <w:r>
        <w:rPr>
          <w:rFonts w:ascii="Calibri" w:cs="Calibri" w:eastAsia="Calibri" w:hAnsi="Calibri"/>
          <w:b w:val="false"/>
          <w:bCs w:val="false"/>
          <w:i w:val="false"/>
          <w:iCs w:val="false"/>
          <w:sz w:val="18"/>
          <w:szCs w:val="18"/>
        </w:rPr>
        <w:t xml:space="preserve">Natural class distribution of the 60-second slice, preserved end to end by our protocol.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5 029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4 reports our recounts. All figures in this paper come from the released files, and we state the released counts rather than the documented ones wherever the two disagree.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2).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wp:inline distT="0" distB="0" distL="0" distR="0">
            <wp:extent cx="612457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23812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This is the strictest temporal evaluation the corpus supports without emptying classes, and we verify the ordering invariant explicitly.</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[15].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9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6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is applied to the paired multiclass prediction vectors of two detectors on the same seed-1 test partition: it asks whether they misclassify different flows, not whether their macro-F1 differs, and it is exact under the pairing because both detectors see the identical flows in the identical order.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5 029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the strongest current deep architecture for tabular data [23].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[10]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task is essentially solved: XGBoost and LightGBM reach macro-F1 1.0000 ± 0.0000 across five seeds, random forest and the FT-Transformer 0.9999, and nine of the eleven detectors exceed 0.99. McNemar tests with Holm correction confirm what the point estimates suggest (Figure 7):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9)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(3 089 of 5 029 benign flows misclassified), confirming that the near-perfect scores are a property of the corpus and the strong models, not of the metric. Figure 3 shows where the residual difficulty sits: for every strong detector the per-class F1 is above 0.99 on all nine classes, and naive Bayes is the only model with a class-level failure, collapsing on the benign class itself.</w:t>
      </w:r>
    </w:p>
    <w:p>
      <w:pPr>
        <w:keepNext/>
        <w:spacing w:after="80" w:before="200"/>
        <w:jc w:val="center"/>
      </w:pPr>
      <w:r>
        <w:drawing>
          <wp:inline distT="0" distB="0" distL="0" distR="0">
            <wp:extent cx="61245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337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only naive Bayes fails, and it fails on benign traffic.</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4):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result we did not anticipate is that the per-class temporal protocol barely reduces the shortcut: the same timestamp probe still reaches 0.9862. The reason is structural. Because each class occupies narrow, mutually disjoint windows (Figure 2),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[14] may be necessary but not sufficient. Excluding the offending features is what does the work here, which is what makes the blacklist an artefact rather than a formality.</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4 plots the two quantities against each other.</w:t>
      </w:r>
    </w:p>
    <w:p>
      <w:pPr>
        <w:keepNext/>
        <w:spacing w:after="80" w:before="200"/>
        <w:jc w:val="center"/>
      </w:pPr>
      <w:r>
        <w:drawing>
          <wp:inline distT="0" distB="0" distL="0" distR="0">
            <wp:extent cx="5267325"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67325" cy="41529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This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[26, 27].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5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6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0.05,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5, so the chance-corrected ratio formalises the same uncertain boundary that the raw ratio made visible without being able to place it. Applying τ* &lt; 0.5 is equivalent, on this corpus, to raising the raw threshold to approximately 0.61. We report this rather than choose the reading that flatters the rule.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keepNext/>
        <w:spacing w:after="80" w:before="200"/>
        <w:jc w:val="center"/>
      </w:pPr>
      <w:r>
        <w:drawing>
          <wp:inline distT="0" distB="0" distL="0" distR="0">
            <wp:extent cx="459105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6576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4.2.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80" w:before="200"/>
        <w:jc w:val="center"/>
      </w:pPr>
      <w:r>
        <w:drawing>
          <wp:inline distT="0" distB="0" distL="0" distR="0">
            <wp:extent cx="6124575" cy="315487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154876"/>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13).</w:t>
      </w:r>
    </w:p>
    <w:p>
      <w:pPr>
        <w:keepNext/>
        <w:spacing w:after="80" w:before="200"/>
        <w:jc w:val="center"/>
      </w:pPr>
      <w:r>
        <w:drawing>
          <wp:inline distT="0" distB="0" distL="0" distR="0">
            <wp:extent cx="4410075" cy="490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10075" cy="4905375"/>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9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8).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that supports a ranking at all.</w:t>
      </w:r>
    </w:p>
    <w:p>
      <w:pPr>
        <w:keepNext/>
        <w:spacing w:after="80" w:before="200"/>
        <w:jc w:val="center"/>
      </w:pPr>
      <w:r>
        <w:drawing>
          <wp:inline distT="0" distB="0" distL="0" distR="0">
            <wp:extent cx="61245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26098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wp:inline distT="0" distB="0" distL="0" distR="0">
            <wp:extent cx="478155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81550" cy="27813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7).</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4).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5 gives the effect on detection. The boosted trees are essentially interval-invariant: XGBoost holds 1.0000 at 5, 10 and 60 s and 0.9999 at 30 s, and LightGBM holds ≥ 0.9999 except at 10 s, where one seed of three collapses (0.9458 ± 0.0766): its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F1 falls to 0.056 on that seed while the other two stay at 0.999 and 1.000, and it is that single failure that pulls the three-seed mean for the family down to 0.685. The DNN, by contrast, collapses as the window shrinks: 0.9968 at 60 s, 0.8478 at 30 s, 0.5120 at 10 s and 0.5291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10 resolves this by family. Detectability is uniformly high for the five denial-of-service families at every interval; the cost of shortening the window falls almost entirely on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whose F1 drops to 0.685 at 10 s. Brute-force traffic is low-rate and bursty, so shorter windows fragment the very pattern that distinguishes it, whereas floods remain volumetrically obvious at any aggregation.</w:t>
      </w:r>
    </w:p>
    <w:p>
      <w:pPr>
        <w:keepNext/>
        <w:spacing w:after="80" w:before="200"/>
        <w:jc w:val="center"/>
      </w:pPr>
      <w:r>
        <w:drawing>
          <wp:inline distT="0" distB="0" distL="0" distR="0">
            <wp:extent cx="4162425"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62425" cy="29146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Per-class F1 across aggregation intervals (LightGBM, audited). Only the low-rate brute-force families are sensitive to the window length.</w:t>
      </w:r>
    </w:p>
    <w:p>
      <w:pPr>
        <w:keepNext/>
        <w:spacing w:after="100" w:before="240"/>
        <w:jc w:val="both"/>
      </w:pPr>
      <w:r>
        <w:rPr>
          <w:rFonts w:ascii="Calibri" w:cs="Calibri" w:eastAsia="Calibri" w:hAnsi="Calibri"/>
          <w:b/>
          <w:bCs/>
          <w:sz w:val="18"/>
          <w:szCs w:val="18"/>
        </w:rPr>
        <w:t xml:space="preserve">Table 4.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Macro-F1 by aggregation interval, audited condition, with the standard deviation following the ± sign (three seeds at 5/10/30 s, five at 60 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21"/>
        <w:gridCol w:w="1766"/>
        <w:gridCol w:w="2117"/>
        <w:gridCol w:w="2117"/>
        <w:gridCol w:w="2117"/>
      </w:tblGrid>
      <w:tr>
        <w:trPr>
          <w:tblHeader/>
        </w:trPr>
        <w:tc>
          <w:tcPr>
            <w:tcW w:type="dxa" w:w="152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7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LightGBM</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XGBoost</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DNN</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0.5291 ± 0.0194</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0.9458 ± 0.0766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0.5120 ± 0.0021</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0.8478 ± 0.0034</w:t>
            </w:r>
          </w:p>
        </w:tc>
      </w:tr>
      <w:tr>
        <w:trPr>
          <w:tblHeader w:val="false"/>
        </w:trPr>
        <w:tc>
          <w:tcPr>
            <w:tcW w:type="dxa" w:w="152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7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near-perfect on the stratified GeNIS benchmark,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6 reports both.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keepNext/>
        <w:spacing w:after="100" w:before="240"/>
        <w:jc w:val="both"/>
      </w:pPr>
      <w:r>
        <w:rPr>
          <w:rFonts w:ascii="Calibri" w:cs="Calibri" w:eastAsia="Calibri" w:hAnsi="Calibri"/>
          <w:b/>
          <w:bCs/>
          <w:sz w:val="18"/>
          <w:szCs w:val="18"/>
        </w:rPr>
        <w:t xml:space="preserve">Table 6.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7, Figure 11) explains why and is more interesting than the headline.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Whether the same polarity failure appears for other reconstruction-based detectors, or on floods captured elsewhere, is a question this single corpus cannot settle.</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wp:inline distT="0" distB="0" distL="0" distR="0">
            <wp:extent cx="489585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895850" cy="24955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8 and Figure 12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8.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wp:inline distT="0" distB="0" distL="0" distR="0">
            <wp:extent cx="4410075" cy="312105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10075" cy="3121051"/>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External validation on a second corpus</w:t>
      </w:r>
    </w:p>
    <w:p>
      <w:pPr>
        <w:spacing w:after="120" w:line="276"/>
        <w:jc w:val="both"/>
      </w:pPr>
      <w:r>
        <w:rPr>
          <w:rFonts w:ascii="Times New Roman" w:cs="Times New Roman" w:eastAsia="Times New Roman" w:hAnsi="Times New Roman"/>
          <w:b w:val="false"/>
          <w:bCs w:val="false"/>
          <w:i w:val="false"/>
          <w:iCs w:val="false"/>
          <w:sz w:val="22"/>
          <w:szCs w:val="22"/>
        </w:rPr>
        <w:t xml:space="preserve">Every number in Section 6 comes from one corpus, while two of our three methodological findings are claims about what auditing and temporal evaluation do in general. This section tests them where they can be tested cheaply. We repeat the audit of Section 4.3, and not the benchmark of Section 6, on CICIDS2017 [9], the most widely used corpus in the field and the one whose defects are the best documented [1, 2, 3]. The two corpora differ in almost every respect that could carry a finding: CICIDS2017 was captured in 2017 on a physical testbed rather than in 2025 on a CyberRange, its flows are produced by CICFlowMeter rather than by HERA [5], its feature vocabulary shares no column name with GeNIS, and its class balance is inverted, its majority class holding 80.30% of flows against 19.42% for the largest GeNIS class. A finding that survives that much variation is not a property of one exporter; a finding that does not survive it was over-generalised, and we report one of each.</w:t>
      </w:r>
    </w:p>
    <w:p>
      <w:pPr>
        <w:spacing w:after="120" w:line="276"/>
        <w:jc w:val="both"/>
      </w:pPr>
      <w:r>
        <w:rPr>
          <w:rFonts w:ascii="Times New Roman" w:cs="Times New Roman" w:eastAsia="Times New Roman" w:hAnsi="Times New Roman"/>
          <w:b w:val="false"/>
          <w:bCs w:val="false"/>
          <w:i w:val="false"/>
          <w:iCs w:val="false"/>
          <w:sz w:val="22"/>
          <w:szCs w:val="22"/>
        </w:rPr>
        <w:t xml:space="preserve">We use the GeneratedLabelledFlows distribution rather than MachineLearningCVE, because the latter ships without a timestamp column and the timestamp probe is half of what we came to measure. Its eight capture files hold 2 830 743 flows over fifteen classes and eighty-five columns. Six identifier columns (</w:t>
      </w:r>
      <w:r>
        <w:rPr>
          <w:rFonts w:ascii="Consolas" w:cs="Consolas" w:eastAsia="Consolas" w:hAnsi="Consolas"/>
          <w:b w:val="false"/>
          <w:bCs w:val="false"/>
          <w:i w:val="false"/>
          <w:iCs w:val="false"/>
          <w:sz w:val="20"/>
          <w:szCs w:val="20"/>
        </w:rPr>
        <w:t xml:space="preserve">Flow ID</w:t>
      </w:r>
      <w:r>
        <w:rPr>
          <w:rFonts w:ascii="Times New Roman" w:cs="Times New Roman" w:eastAsia="Times New Roman" w:hAnsi="Times New Roman"/>
          <w:b w:val="false"/>
          <w:bCs w:val="false"/>
          <w:i w:val="false"/>
          <w:iCs w:val="false"/>
          <w:sz w:val="22"/>
          <w:szCs w:val="22"/>
        </w:rPr>
        <w:t xml:space="preserve">, the source and destination addresses, the two port numbers and </w:t>
      </w:r>
      <w:r>
        <w:rPr>
          <w:rFonts w:ascii="Consolas" w:cs="Consolas" w:eastAsia="Consolas" w:hAnsi="Consolas"/>
          <w:b w:val="false"/>
          <w:bCs w:val="false"/>
          <w:i w:val="false"/>
          <w:iCs w:val="false"/>
          <w:sz w:val="20"/>
          <w:szCs w:val="20"/>
        </w:rPr>
        <w:t xml:space="preserve">Protocol</w:t>
      </w:r>
      <w:r>
        <w:rPr>
          <w:rFonts w:ascii="Times New Roman" w:cs="Times New Roman" w:eastAsia="Times New Roman" w:hAnsi="Times New Roman"/>
          <w:b w:val="false"/>
          <w:bCs w:val="false"/>
          <w:i w:val="false"/>
          <w:iCs w:val="false"/>
          <w:sz w:val="22"/>
          <w:szCs w:val="22"/>
        </w:rPr>
        <w:t xml:space="preserve">) and one positional column (</w:t>
      </w:r>
      <w:r>
        <w:rPr>
          <w:rFonts w:ascii="Consolas" w:cs="Consolas" w:eastAsia="Consolas" w:hAnsi="Consolas"/>
          <w:b w:val="false"/>
          <w:bCs w:val="false"/>
          <w:i w:val="false"/>
          <w:iCs w:val="false"/>
          <w:sz w:val="20"/>
          <w:szCs w:val="20"/>
        </w:rPr>
        <w:t xml:space="preserve">Timestamp</w:t>
      </w:r>
      <w:r>
        <w:rPr>
          <w:rFonts w:ascii="Times New Roman" w:cs="Times New Roman" w:eastAsia="Times New Roman" w:hAnsi="Times New Roman"/>
          <w:b w:val="false"/>
          <w:bCs w:val="false"/>
          <w:i w:val="false"/>
          <w:iCs w:val="false"/>
          <w:sz w:val="22"/>
          <w:szCs w:val="22"/>
        </w:rPr>
        <w:t xml:space="preserve">) are excluded by name exactly as in Section 4.3; eight columns are constant over the whole corpus and are dropped; sixty-nine behavioural features remain. Five components of the audit are repeated: the global chronological split, the timestamp probe under both protocols, the single-feature transferability sweep over all sixty-nine features, permutation importance from a reference gradient-boosted model, and the check for numerically identical columns. No detector is benchmarked and no ranking is produced. Table 9 places the two audits side by side, and Figure 13 carries the three measurements the section turns on.</w:t>
      </w:r>
    </w:p>
    <w:p>
      <w:pPr>
        <w:pStyle w:val="Heading2"/>
        <w:keepNext/>
        <w:spacing w:after="120" w:before="240"/>
      </w:pPr>
      <w:r>
        <w:rPr>
          <w:rFonts w:ascii="Calibri" w:cs="Calibri" w:eastAsia="Calibri" w:hAnsi="Calibri"/>
          <w:b/>
          <w:bCs/>
          <w:color w:val="1F3864"/>
          <w:sz w:val="24"/>
          <w:szCs w:val="24"/>
        </w:rPr>
        <w:t xml:space="preserve">7.1 What the audit finds on CICIDS2017</w:t>
      </w:r>
    </w:p>
    <w:p>
      <w:pPr>
        <w:spacing w:after="120" w:line="276"/>
        <w:jc w:val="both"/>
      </w:pPr>
      <w:r>
        <w:rPr>
          <w:rFonts w:ascii="Times New Roman" w:cs="Times New Roman" w:eastAsia="Times New Roman" w:hAnsi="Times New Roman"/>
          <w:b/>
          <w:bCs/>
          <w:i w:val="false"/>
          <w:iCs w:val="false"/>
          <w:sz w:val="22"/>
          <w:szCs w:val="22"/>
        </w:rPr>
        <w:t xml:space="preserve">The capture-schedule shortcut is present under a random split and absent under a temporal one.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the stratified protocol, against a majority-class rate of 0.8030: the shortcut that motivates this paper is present on CICIDS2017 as well. Under the per-class temporal protocol the same probe falls to 0.1028, far below the majority rate, for a transferability of 0.11 against 0.99 on GeNIS (Figure 13c). The difference is a difference in capture design, not in method. On GeNIS each class occupies a narrow window disjoint from every other (Figure 2), so ordering flows inside a class leaves the association between class and position in the capture intact. On CICIDS2017 benign traffic runs continuously across all five days alongside the attacks, so ordering inside each class sends the late fraction of every class into the test partition at once, and the timestamp stops separating them. The consequence for Section 6.2 is precise, and it is not the one we expected: temporal splitting being necessary but not sufficient is not a general property of intrusion-detection corpora but a property of corpora whose classes occupy disjoint windows. Which of the two a corpus is can be settled with one decision tree, and we now recommend settling it rather than assuming either answer.</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Training on Monday to Wednesday and testing on Thursday and Friday leaves exactly one class, benign traffic, present on both sides. Every attack family of CICIDS2017 falls on a single day: the two Patator families on Tuesday, the four denial-of-service families and Heartbleed on Wednesday, infiltration and the three web attacks on Thursday, Bot, DDoS and PortScan on Friday, with Monday benign throughout. The degeneracy reported for GeNIS in Section 4.2 is therefore not an idiosyncrasy of GeNIS but a property of scripted captures, and the per-class temporal protocol adopted there to work around it is justified on the second corpus for the same reason.</w:t>
      </w:r>
    </w:p>
    <w:p>
      <w:pPr>
        <w:spacing w:after="120" w:line="276" w:lineRule="auto"/>
        <w:jc w:val="both"/>
      </w:pPr>
      <w:r>
        <w:rPr>
          <w:rFonts w:ascii="Calibri" w:cs="Calibri" w:eastAsia="Calibri" w:hAnsi="Calibri"/>
          <w:b/>
          <w:bCs/>
          <w:sz w:val="18"/>
          <w:szCs w:val="18"/>
        </w:rPr>
        <w:t xml:space="preserve">Table 9. </w:t>
      </w:r>
      <w:r>
        <w:rPr>
          <w:rFonts w:ascii="Calibri" w:cs="Calibri" w:eastAsia="Calibri" w:hAnsi="Calibri"/>
          <w:sz w:val="18"/>
          <w:szCs w:val="18"/>
        </w:rPr>
        <w:t xml:space="preserve">The audit of Section 4.3 repeated on CICIDS2017. Probe values are accuracies. The transferability row for the timestamp is the ratio of the two accuracies above it. The last row is not measured on the same normalisation on the two corpora: on GeNIS the operative ratio is taken over accuracies, on CICIDS2017 over macro-F1, for the reason given at the end of this subsection; under the accuracy ratio the CICIDS2017 minimum is 0.91, so the row's conclusion does not depend on the choice. GeNIS figures are those of Sections 4.3 and 6.2. CICIDS2017 figures come from the released audit notebook, data fingerprint 2830743|69|15.</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8"/>
        <w:gridCol w:w="2410"/>
        <w:gridCol w:w="2410"/>
      </w:tblGrid>
      <w:tr>
        <w:trPr>
          <w:tblHeader/>
        </w:trPr>
        <w:tc>
          <w:tcPr>
            <w:tcW w:type="dxa" w:w="481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4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4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481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481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481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481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Identifier and positional columns removed by name</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23 + 4</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 + 1</w:t>
            </w:r>
          </w:p>
        </w:tc>
      </w:tr>
      <w:tr>
        <w:tc>
          <w:tcPr>
            <w:tcW w:type="dxa" w:w="481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features audited</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481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(one group of six)</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(seven disjoint pairs)</w:t>
            </w:r>
          </w:p>
        </w:tc>
      </w:tr>
      <w:tr>
        <w:tc>
          <w:tcPr>
            <w:tcW w:type="dxa" w:w="481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481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481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transferability</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0.9892</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0.1079</w:t>
            </w:r>
          </w:p>
        </w:tc>
      </w:tr>
      <w:tr>
        <w:tc>
          <w:tcPr>
            <w:tcW w:type="dxa" w:w="481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481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 present on both sides of it</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benign only</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benign only</w:t>
            </w:r>
          </w:p>
        </w:tc>
      </w:tr>
      <w:tr>
        <w:tc>
          <w:tcPr>
            <w:tcW w:type="dxa" w:w="481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Features passing the predictivity filter</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 of 63</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 of 69</w:t>
            </w:r>
          </w:p>
        </w:tc>
      </w:tr>
      <w:tr>
        <w:tc>
          <w:tcPr>
            <w:tcW w:type="dxa" w:w="481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excluded</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r>
        <w:tc>
          <w:tcPr>
            <w:tcW w:type="dxa" w:w="481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Lowest ratio among eligible features</w:t>
            </w:r>
          </w:p>
        </w:tc>
        <w:tc>
          <w:tcPr>
            <w:tcW w:type="dxa" w:w="24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c>
          <w:tcPr>
            <w:tcW w:type="dxa" w:w="24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0.67</w:t>
            </w:r>
          </w:p>
        </w:tc>
      </w:tr>
    </w:tbl>
    <w:p>
      <w:pPr>
        <w:spacing w:after="120" w:line="276" w:lineRule="auto"/>
      </w:pPr>
    </w:p>
    <w:p>
      <w:pPr>
        <w:spacing w:after="120" w:line="276"/>
        <w:jc w:val="both"/>
      </w:pPr>
      <w:r>
        <w:rPr>
          <w:rFonts w:ascii="Times New Roman" w:cs="Times New Roman" w:eastAsia="Times New Roman" w:hAnsi="Times New Roman"/>
          <w:b/>
          <w:bCs/>
          <w:i w:val="false"/>
          <w:iCs w:val="false"/>
          <w:sz w:val="22"/>
          <w:szCs w:val="22"/>
        </w:rPr>
        <w:t xml:space="preserve">Seven pairs of numerically identical columns, and attribution scores ten of them at zero. </w:t>
      </w:r>
      <w:r>
        <w:rPr>
          <w:rFonts w:ascii="Times New Roman" w:cs="Times New Roman" w:eastAsia="Times New Roman" w:hAnsi="Times New Roman"/>
          <w:b w:val="false"/>
          <w:bCs w:val="false"/>
          <w:i w:val="false"/>
          <w:iCs w:val="false"/>
          <w:sz w:val="22"/>
          <w:szCs w:val="22"/>
        </w:rPr>
        <w:t xml:space="preserve">The duplicate check finds seven pairs of columns that are equal on all 2 830 743 flows (Table 10). Ten of the fourteen columns involved have a permutation importance of exactly zero (Figure 13b), which is the plane of Figure 4 drawn for a second corpus. The clearest case is </w:t>
      </w:r>
      <w:r>
        <w:rPr>
          <w:rFonts w:ascii="Consolas" w:cs="Consolas" w:eastAsia="Consolas" w:hAnsi="Consolas"/>
          <w:b w:val="false"/>
          <w:bCs w:val="false"/>
          <w:i w:val="false"/>
          <w:iCs w:val="false"/>
          <w:sz w:val="20"/>
          <w:szCs w:val="20"/>
        </w:rPr>
        <w:t xml:space="preserve">Bwd Packet Length Mean</w:t>
      </w:r>
      <w:r>
        <w:rPr>
          <w:rFonts w:ascii="Times New Roman" w:cs="Times New Roman" w:eastAsia="Times New Roman" w:hAnsi="Times New Roman"/>
          <w:b w:val="false"/>
          <w:bCs w:val="false"/>
          <w:i w:val="false"/>
          <w:iCs w:val="false"/>
          <w:sz w:val="22"/>
          <w:szCs w:val="22"/>
        </w:rPr>
        <w:t xml:space="preserve">: on its own it reaches macro-F1 0.3849 and accuracy 0.8921, and its permutation importance is 0.00000, because </w:t>
      </w:r>
      <w:r>
        <w:rPr>
          <w:rFonts w:ascii="Consolas" w:cs="Consolas" w:eastAsia="Consolas" w:hAnsi="Consolas"/>
          <w:b w:val="false"/>
          <w:bCs w:val="false"/>
          <w:i w:val="false"/>
          <w:iCs w:val="false"/>
          <w:sz w:val="20"/>
          <w:szCs w:val="20"/>
        </w:rPr>
        <w:t xml:space="preserve">Avg Bwd Segment Size</w:t>
      </w:r>
      <w:r>
        <w:rPr>
          <w:rFonts w:ascii="Times New Roman" w:cs="Times New Roman" w:eastAsia="Times New Roman" w:hAnsi="Times New Roman"/>
          <w:b w:val="false"/>
          <w:bCs w:val="false"/>
          <w:i w:val="false"/>
          <w:iCs w:val="false"/>
          <w:sz w:val="22"/>
          <w:szCs w:val="22"/>
        </w:rPr>
        <w:t xml:space="preserve"> holds the identical column. The effect is not confined to bitwise duplicates either. </w:t>
      </w:r>
      <w:r>
        <w:rPr>
          <w:rFonts w:ascii="Consolas" w:cs="Consolas" w:eastAsia="Consolas" w:hAnsi="Consolas"/>
          <w:b w:val="false"/>
          <w:bCs w:val="false"/>
          <w:i w:val="false"/>
          <w:iCs w:val="false"/>
          <w:sz w:val="20"/>
          <w:szCs w:val="20"/>
        </w:rPr>
        <w:t xml:space="preserve">Packet Length Variance</w:t>
      </w:r>
      <w:r>
        <w:rPr>
          <w:rFonts w:ascii="Times New Roman" w:cs="Times New Roman" w:eastAsia="Times New Roman" w:hAnsi="Times New Roman"/>
          <w:b w:val="false"/>
          <w:bCs w:val="false"/>
          <w:i w:val="false"/>
          <w:iCs w:val="false"/>
          <w:sz w:val="22"/>
          <w:szCs w:val="22"/>
        </w:rPr>
        <w:t xml:space="preserve"> is the second most predictive feature of the corpus taken alone, at macro-F1 0.5242, and its importance is also exactly zero, because </w:t>
      </w:r>
      <w:r>
        <w:rPr>
          <w:rFonts w:ascii="Consolas" w:cs="Consolas" w:eastAsia="Consolas" w:hAnsi="Consolas"/>
          <w:b w:val="false"/>
          <w:bCs w:val="false"/>
          <w:i w:val="false"/>
          <w:iCs w:val="false"/>
          <w:sz w:val="20"/>
          <w:szCs w:val="20"/>
        </w:rPr>
        <w:t xml:space="preserve">Packet Length Std</w:t>
      </w:r>
      <w:r>
        <w:rPr>
          <w:rFonts w:ascii="Times New Roman" w:cs="Times New Roman" w:eastAsia="Times New Roman" w:hAnsi="Times New Roman"/>
          <w:b w:val="false"/>
          <w:bCs w:val="false"/>
          <w:i w:val="false"/>
          <w:iCs w:val="false"/>
          <w:sz w:val="22"/>
          <w:szCs w:val="22"/>
        </w:rPr>
        <w:t xml:space="preserve"> is its square root and receives +0.01147. This is the mechanism of Section 6.2 reproduced on a different corpus, a different exporter and a different set of columns. We do not claim the duplications themselves are a discovery: several are visible to anyone who correlates the feature matrix, and </w:t>
      </w:r>
      <w:r>
        <w:rPr>
          <w:rFonts w:ascii="Consolas" w:cs="Consolas" w:eastAsia="Consolas" w:hAnsi="Consolas"/>
          <w:b w:val="false"/>
          <w:bCs w:val="false"/>
          <w:i w:val="false"/>
          <w:iCs w:val="false"/>
          <w:sz w:val="20"/>
          <w:szCs w:val="20"/>
        </w:rPr>
        <w:t xml:space="preserve">Fwd Header Length.1</w:t>
      </w:r>
      <w:r>
        <w:rPr>
          <w:rFonts w:ascii="Times New Roman" w:cs="Times New Roman" w:eastAsia="Times New Roman" w:hAnsi="Times New Roman"/>
          <w:b w:val="false"/>
          <w:bCs w:val="false"/>
          <w:i w:val="false"/>
          <w:iCs w:val="false"/>
          <w:sz w:val="22"/>
          <w:szCs w:val="22"/>
        </w:rPr>
        <w:t xml:space="preserve"> is a known artefact of the released files. What the audit adds is the consequence for feature selection. A pipeline that ranks features by attribution score retains all fourteen of these columns, because ten of them are indistinguishable from irrelevant, and the redundancy never appears in the ranking at all.</w:t>
      </w:r>
    </w:p>
    <w:p>
      <w:pPr>
        <w:spacing w:after="120" w:line="276" w:lineRule="auto"/>
        <w:jc w:val="both"/>
      </w:pPr>
      <w:r>
        <w:rPr>
          <w:rFonts w:ascii="Calibri" w:cs="Calibri" w:eastAsia="Calibri" w:hAnsi="Calibri"/>
          <w:b/>
          <w:bCs/>
          <w:sz w:val="18"/>
          <w:szCs w:val="18"/>
        </w:rPr>
        <w:t xml:space="preserve">Table 10. </w:t>
      </w:r>
      <w:r>
        <w:rPr>
          <w:rFonts w:ascii="Calibri" w:cs="Calibri" w:eastAsia="Calibri" w:hAnsi="Calibri"/>
          <w:sz w:val="18"/>
          <w:szCs w:val="18"/>
        </w:rPr>
        <w:t xml:space="preserve">The seven pairs of numerically identical columns in CICIDS2017 and what attribution assigns to them. Equality is exact over all 2 830 743 flows. macro-F1 alone is the fifteen-class macro-F1 of a decision tree trained on that column and nothing else, under the stratified protocol; it is the same for both members of a pair. Permutation importance is the mean drop in accuracy of a reference gradient-boosted model over five repeats, and the majority-class rate of 0.8030 is what that accuracy is measured against, so the measure is conservative here: twenty-two of the sixty-nine features score exactly zero. The last two columns should be read as below the resolution of the measure rather than as exact zeros.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400"/>
        <w:gridCol w:w="2400"/>
        <w:gridCol w:w="1613"/>
        <w:gridCol w:w="1613"/>
        <w:gridCol w:w="1612"/>
      </w:tblGrid>
      <w:tr>
        <w:trPr>
          <w:tblHeader/>
        </w:trPr>
        <w:tc>
          <w:tcPr>
            <w:tcW w:type="dxa" w:w="2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2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Identical to</w:t>
            </w:r>
          </w:p>
        </w:tc>
        <w:tc>
          <w:tcPr>
            <w:tcW w:type="dxa" w:w="161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 alone</w:t>
            </w:r>
          </w:p>
        </w:tc>
        <w:tc>
          <w:tcPr>
            <w:tcW w:type="dxa" w:w="161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61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 (twin)</w:t>
            </w:r>
          </w:p>
        </w:tc>
      </w:tr>
      <w:tr>
        <w:tc>
          <w:tcPr>
            <w:tcW w:type="dxa" w:w="2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Total Fwd Packets</w:t>
            </w:r>
          </w:p>
        </w:tc>
        <w:tc>
          <w:tcPr>
            <w:tcW w:type="dxa" w:w="2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Subflow Fwd Packets</w:t>
            </w:r>
          </w:p>
        </w:tc>
        <w:tc>
          <w:tcPr>
            <w:tcW w:type="dxa" w:w="161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0.0851</w:t>
            </w:r>
          </w:p>
        </w:tc>
        <w:tc>
          <w:tcPr>
            <w:tcW w:type="dxa" w:w="161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161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2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Total Backward Packets</w:t>
            </w:r>
          </w:p>
        </w:tc>
        <w:tc>
          <w:tcPr>
            <w:tcW w:type="dxa" w:w="2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Subflow Bwd Packets</w:t>
            </w:r>
          </w:p>
        </w:tc>
        <w:tc>
          <w:tcPr>
            <w:tcW w:type="dxa" w:w="161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0.1319</w:t>
            </w:r>
          </w:p>
        </w:tc>
        <w:tc>
          <w:tcPr>
            <w:tcW w:type="dxa" w:w="161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161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2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Fwd Packet Length Mean</w:t>
            </w:r>
          </w:p>
        </w:tc>
        <w:tc>
          <w:tcPr>
            <w:tcW w:type="dxa" w:w="2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Avg Fwd Segment Size</w:t>
            </w:r>
          </w:p>
        </w:tc>
        <w:tc>
          <w:tcPr>
            <w:tcW w:type="dxa" w:w="161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0.3800</w:t>
            </w:r>
          </w:p>
        </w:tc>
        <w:tc>
          <w:tcPr>
            <w:tcW w:type="dxa" w:w="161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161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2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Bwd Packet Length Mean</w:t>
            </w:r>
          </w:p>
        </w:tc>
        <w:tc>
          <w:tcPr>
            <w:tcW w:type="dxa" w:w="2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Avg Bwd Segment Size</w:t>
            </w:r>
          </w:p>
        </w:tc>
        <w:tc>
          <w:tcPr>
            <w:tcW w:type="dxa" w:w="161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0.3849</w:t>
            </w:r>
          </w:p>
        </w:tc>
        <w:tc>
          <w:tcPr>
            <w:tcW w:type="dxa" w:w="161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161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2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Fwd PSH Flags</w:t>
            </w:r>
          </w:p>
        </w:tc>
        <w:tc>
          <w:tcPr>
            <w:tcW w:type="dxa" w:w="2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SYN Flag Count</w:t>
            </w:r>
          </w:p>
        </w:tc>
        <w:tc>
          <w:tcPr>
            <w:tcW w:type="dxa" w:w="161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0.0636</w:t>
            </w:r>
          </w:p>
        </w:tc>
        <w:tc>
          <w:tcPr>
            <w:tcW w:type="dxa" w:w="161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161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2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Fwd URG Flags</w:t>
            </w:r>
          </w:p>
        </w:tc>
        <w:tc>
          <w:tcPr>
            <w:tcW w:type="dxa" w:w="2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CWE Flag Count</w:t>
            </w:r>
          </w:p>
        </w:tc>
        <w:tc>
          <w:tcPr>
            <w:tcW w:type="dxa" w:w="161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0.0636</w:t>
            </w:r>
          </w:p>
        </w:tc>
        <w:tc>
          <w:tcPr>
            <w:tcW w:type="dxa" w:w="161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161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2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Fwd Header Length</w:t>
            </w:r>
          </w:p>
        </w:tc>
        <w:tc>
          <w:tcPr>
            <w:tcW w:type="dxa" w:w="2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Fwd Header Length.1</w:t>
            </w:r>
          </w:p>
        </w:tc>
        <w:tc>
          <w:tcPr>
            <w:tcW w:type="dxa" w:w="161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0.2446</w:t>
            </w:r>
          </w:p>
        </w:tc>
        <w:tc>
          <w:tcPr>
            <w:tcW w:type="dxa" w:w="161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161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120" w:line="276" w:lineRule="auto"/>
      </w:pPr>
    </w:p>
    <w:p>
      <w:pPr>
        <w:spacing w:after="120" w:line="276"/>
        <w:jc w:val="both"/>
      </w:pPr>
      <w:r>
        <w:rPr>
          <w:rFonts w:ascii="Times New Roman" w:cs="Times New Roman" w:eastAsia="Times New Roman" w:hAnsi="Times New Roman"/>
          <w:b/>
          <w:bCs/>
          <w:i w:val="false"/>
          <w:iCs w:val="false"/>
          <w:sz w:val="22"/>
          <w:szCs w:val="22"/>
        </w:rPr>
        <w:t xml:space="preserve">The rule excludes nothing on CICIDS2017, and that is also a result. </w:t>
      </w:r>
      <w:r>
        <w:rPr>
          <w:rFonts w:ascii="Times New Roman" w:cs="Times New Roman" w:eastAsia="Times New Roman" w:hAnsi="Times New Roman"/>
          <w:b w:val="false"/>
          <w:bCs w:val="false"/>
          <w:i w:val="false"/>
          <w:iCs w:val="false"/>
          <w:sz w:val="22"/>
          <w:szCs w:val="22"/>
        </w:rPr>
        <w:t xml:space="preserve">Forty-three of the sixty-nine behavioural features pass the predictivity filter, and none of them falls below the exclusion threshold (Figure 13a). The lowest ratio among them is 0.6726, on </w:t>
      </w:r>
      <w:r>
        <w:rPr>
          <w:rFonts w:ascii="Consolas" w:cs="Consolas" w:eastAsia="Consolas" w:hAnsi="Consolas"/>
          <w:b w:val="false"/>
          <w:bCs w:val="false"/>
          <w:i w:val="false"/>
          <w:iCs w:val="false"/>
          <w:sz w:val="20"/>
          <w:szCs w:val="20"/>
        </w:rPr>
        <w:t xml:space="preserve">Bwd IAT Std</w:t>
      </w:r>
      <w:r>
        <w:rPr>
          <w:rFonts w:ascii="Times New Roman" w:cs="Times New Roman" w:eastAsia="Times New Roman" w:hAnsi="Times New Roman"/>
          <w:b w:val="false"/>
          <w:bCs w:val="false"/>
          <w:i w:val="false"/>
          <w:iCs w:val="false"/>
          <w:sz w:val="22"/>
          <w:szCs w:val="22"/>
        </w:rPr>
        <w:t xml:space="preserve">, under the macro-F1 normalisation used here, and 0.9110, on </w:t>
      </w:r>
      <w:r>
        <w:rPr>
          <w:rFonts w:ascii="Consolas" w:cs="Consolas" w:eastAsia="Consolas" w:hAnsi="Consolas"/>
          <w:b w:val="false"/>
          <w:bCs w:val="false"/>
          <w:i w:val="false"/>
          <w:iCs w:val="false"/>
          <w:sz w:val="20"/>
          <w:szCs w:val="20"/>
        </w:rPr>
        <w:t xml:space="preserve">Bwd Packet Length Max</w:t>
      </w:r>
      <w:r>
        <w:rPr>
          <w:rFonts w:ascii="Times New Roman" w:cs="Times New Roman" w:eastAsia="Times New Roman" w:hAnsi="Times New Roman"/>
          <w:b w:val="false"/>
          <w:bCs w:val="false"/>
          <w:i w:val="false"/>
          <w:iCs w:val="false"/>
          <w:sz w:val="22"/>
          <w:szCs w:val="22"/>
        </w:rPr>
        <w:t xml:space="preserve">, under the raw accuracy ratio, so the conclusion holds under either reading. The behavioural blacklist of CICIDS2017 is empty: its one schedule shortcut is the timestamp, and the timestamp is removed by name before the rule is applied. This answers the objection symmetric to the one Section 6.2 raises. A rule that excludes eight of sixty-three columns on one corpus and none of sixty-nine on another is not a rule that manufactures exclusions wherever it is pointed. One caveat belongs with the result rather than against it: the timestamp itself transfers at 0.68 when the ratio is taken over macro-F1, against 0.11 over accuracies, so on this corpus the normalisation that makes the behavioural sweep meaningful would not have flagged the one feature we know to be a shortcut. It is caught by the identifier and positional name lists, which is the first of the two independent remedies described in Section 9, and this is a concrete instance of why the audit is not offered as a complete leakage test.</w:t>
      </w:r>
    </w:p>
    <w:p>
      <w:pPr>
        <w:keepNext/>
        <w:spacing w:before="200" w:after="80"/>
        <w:jc w:val="center"/>
      </w:pPr>
      <w:r>
        <w:drawing>
          <wp:inline xmlns:a="http://schemas.openxmlformats.org/drawingml/2006/main" xmlns:pic="http://schemas.openxmlformats.org/drawingml/2006/picture">
            <wp:extent cx="6124575" cy="4846622"/>
            <wp:docPr id="100" name="Picture 100"/>
            <wp:cNvGraphicFramePr>
              <a:graphicFrameLocks noChangeAspect="1"/>
            </wp:cNvGraphicFramePr>
            <a:graphic>
              <a:graphicData uri="http://schemas.openxmlformats.org/drawingml/2006/picture">
                <pic:pic>
                  <pic:nvPicPr>
                    <pic:cNvPr id="0" name="figure13_cicids2017_audit.png"/>
                    <pic:cNvPicPr/>
                  </pic:nvPicPr>
                  <pic:blipFill>
                    <a:blip r:embed="rId23"/>
                    <a:stretch>
                      <a:fillRect/>
                    </a:stretch>
                  </pic:blipFill>
                  <pic:spPr>
                    <a:xfrm>
                      <a:off x="0" y="0"/>
                      <a:ext cx="6124575" cy="4846622"/>
                    </a:xfrm>
                    <a:prstGeom prst="rect"/>
                  </pic:spPr>
                </pic:pic>
              </a:graphicData>
            </a:graphic>
          </wp:inline>
        </w:drawing>
      </w:r>
    </w:p>
    <w:p>
      <w:pPr>
        <w:spacing w:after="120" w:line="276" w:lineRule="auto"/>
        <w:jc w:val="both"/>
      </w:pPr>
      <w:r>
        <w:rPr>
          <w:rFonts w:ascii="Calibri" w:cs="Calibri" w:eastAsia="Calibri" w:hAnsi="Calibri"/>
          <w:b/>
          <w:bCs/>
          <w:sz w:val="18"/>
          <w:szCs w:val="18"/>
        </w:rPr>
        <w:t xml:space="preserve">Figure 13. </w:t>
      </w:r>
      <w:r>
        <w:rPr>
          <w:rFonts w:ascii="Calibri" w:cs="Calibri" w:eastAsia="Calibri" w:hAnsi="Calibri"/>
          <w:sz w:val="18"/>
          <w:szCs w:val="18"/>
        </w:rPr>
        <w:t xml:space="preserve">The external audit of CICIDS2017 in three panels. (a) Transferability of the 43 behavioural features that pass the predictivity filter, sorted. None falls below the 0.50 threshold and the lowest is Bwd IAT Std at 0.6726, so the behavioural blacklist of this corpus is empty. Both the filter and the ratio are taken over macro-F1 here, for the reason given in Section 7.1; a ratio above one marks a column that separates the classes slightly better under the temporal protocol than under the stratified one. (b) The plane of Figure 4 drawn for the second corpus: standalone predictive power against permutation importance, with the fourteen columns of the seven identical pairs in red. Ten of them lie exactly on the zero of the axis, Bwd Packet Length Mean among them at macro-F1 0.3849. Packet Length Variance lies there too and is not one of the pairs: it is the square of Packet Length Std, which receives +0.01147, so the blindness is not confined to bitwise duplicates. (c) The timestamp probe under both protocols on the two corpora, with the majority-class rate of each. This is the finding the second corpus corrects. Regenerated by paper/regen_fig13_cicids2017.py from the released audit result file.</w:t>
      </w:r>
    </w:p>
    <w:p>
      <w:pPr>
        <w:spacing w:after="120" w:line="276"/>
        <w:jc w:val="both"/>
      </w:pPr>
      <w:r>
        <w:rPr>
          <w:rFonts w:ascii="Times New Roman" w:cs="Times New Roman" w:eastAsia="Times New Roman" w:hAnsi="Times New Roman"/>
          <w:b/>
          <w:bCs/>
          <w:i w:val="false"/>
          <w:iCs w:val="false"/>
          <w:sz w:val="22"/>
          <w:szCs w:val="22"/>
        </w:rPr>
        <w:t xml:space="preserve">The published predictivity filter does not transpose, and only a second corpus could have shown it. </w:t>
      </w:r>
      <w:r>
        <w:rPr>
          <w:rFonts w:ascii="Times New Roman" w:cs="Times New Roman" w:eastAsia="Times New Roman" w:hAnsi="Times New Roman"/>
          <w:b w:val="false"/>
          <w:bCs w:val="false"/>
          <w:i w:val="false"/>
          <w:iCs w:val="false"/>
          <w:sz w:val="22"/>
          <w:szCs w:val="22"/>
        </w:rPr>
        <w:t xml:space="preserve">The rule of Section 4.3 acts on features that are individually predictive, defined as an accuracy above three times the majority-class rate. On a corpus whose majority class holds 80.30% of flows, three times that rate exceeds one and no feature can qualify; worse, single-feature accuracy is uninformative there at all, since a column that predicts everything benign already scores 0.803. We record two re-expressions and use the second. The first keeps accuracy and states the threshold as a fraction of the margin above chance, an accuracy above c + κ(1 − c) with c the majority-class rate and κ = 0.4818, which reproduces the published GeNIS rule exactly, since 0.1942 + 0.4818 × 0.8058 = 0.5827 = 3 × 0.1942; on CICIDS2017 it admits nine features, because the accuracy it rests on is saturated by the majority class. The second keeps the form of the rule, three times the baseline, and moves both the filter and the ratio onto macro-F1, whose baseline is measured rather than assumed: the majority-class classifier scores macro-F1 0.0636, so the filter is macro-F1 &gt; 0.1909. It admits forty-three features and is the rule reported here. The published threshold is thus specific to a corpus with a moderate majority class, and no amount of further analysis on GeNIS could have revealed that.</w:t>
      </w:r>
    </w:p>
    <w:p>
      <w:pPr>
        <w:spacing w:after="120" w:line="276"/>
        <w:jc w:val="both"/>
      </w:pPr>
      <w:r>
        <w:rPr>
          <w:rFonts w:ascii="Times New Roman" w:cs="Times New Roman" w:eastAsia="Times New Roman" w:hAnsi="Times New Roman"/>
          <w:b/>
          <w:bCs/>
          <w:i w:val="false"/>
          <w:iCs w:val="false"/>
          <w:sz w:val="22"/>
          <w:szCs w:val="22"/>
        </w:rPr>
        <w:t xml:space="preserve">A point of record on the column count. </w:t>
      </w:r>
      <w:r>
        <w:rPr>
          <w:rFonts w:ascii="Times New Roman" w:cs="Times New Roman" w:eastAsia="Times New Roman" w:hAnsi="Times New Roman"/>
          <w:b w:val="false"/>
          <w:bCs w:val="false"/>
          <w:i w:val="false"/>
          <w:iCs w:val="false"/>
          <w:sz w:val="22"/>
          <w:szCs w:val="22"/>
        </w:rPr>
        <w:t xml:space="preserve">The GeneratedLabelledFlows files carry eighty-five columns, including the flow identifier, the addresses, the two ports, the protocol and the timestamp. The count of seventy-nine columns reported in our earlier comparative study [7] is the MachineLearningCVE distribution, which the corpus authors publish with six of those columns already removed. That study therefore did not train on flow identifiers or addresses; its description of the feature set left the point ambiguous, and we settle it here because Section 5 reuses its architectures.</w:t>
      </w:r>
    </w:p>
    <w:p>
      <w:pPr>
        <w:pStyle w:val="Heading2"/>
        <w:keepNext/>
        <w:spacing w:after="120" w:before="240"/>
      </w:pPr>
      <w:r>
        <w:rPr>
          <w:rFonts w:ascii="Calibri" w:cs="Calibri" w:eastAsia="Calibri" w:hAnsi="Calibri"/>
          <w:b/>
          <w:bCs/>
          <w:color w:val="1F3864"/>
          <w:sz w:val="24"/>
          <w:szCs w:val="24"/>
        </w:rPr>
        <w:t xml:space="preserve">7.2 What the second corpus settles, and what it leaves open</w:t>
      </w:r>
    </w:p>
    <w:p>
      <w:pPr>
        <w:spacing w:after="120" w:line="276"/>
        <w:jc w:val="both"/>
      </w:pPr>
      <w:r>
        <w:rPr>
          <w:rFonts w:ascii="Times New Roman" w:cs="Times New Roman" w:eastAsia="Times New Roman" w:hAnsi="Times New Roman"/>
          <w:b/>
          <w:bCs/>
          <w:i w:val="false"/>
          <w:iCs w:val="false"/>
          <w:sz w:val="22"/>
          <w:szCs w:val="22"/>
        </w:rPr>
        <w:t xml:space="preserve">Confirmed on two corpora. </w:t>
      </w:r>
      <w:r>
        <w:rPr>
          <w:rFonts w:ascii="Times New Roman" w:cs="Times New Roman" w:eastAsia="Times New Roman" w:hAnsi="Times New Roman"/>
          <w:b w:val="false"/>
          <w:bCs w:val="false"/>
          <w:i w:val="false"/>
          <w:iCs w:val="false"/>
          <w:sz w:val="22"/>
          <w:szCs w:val="22"/>
        </w:rPr>
        <w:t xml:space="preserve">The redundancy mechanism behind our first finding recurs. On a different corpus, a different exporter and a different feature vocabulary, columns that are numerically identical receive an attribution score of exactly zero, the most predictive of them carry substantial class information on their own, and an isolated evaluation of each feature exposes what the ranking hides. Two observations of a mechanism whose statistical basis is established independently of both corpora [26, 27] is not a survey of exporters, but it is the strongest support the claim can have short of one.</w:t>
      </w:r>
    </w:p>
    <w:p>
      <w:pPr>
        <w:spacing w:after="120" w:line="276"/>
        <w:jc w:val="both"/>
      </w:pPr>
      <w:r>
        <w:rPr>
          <w:rFonts w:ascii="Times New Roman" w:cs="Times New Roman" w:eastAsia="Times New Roman" w:hAnsi="Times New Roman"/>
          <w:b/>
          <w:bCs/>
          <w:i w:val="false"/>
          <w:iCs w:val="false"/>
          <w:sz w:val="22"/>
          <w:szCs w:val="22"/>
        </w:rPr>
        <w:t xml:space="preserve">Corrected by the second corpus. </w:t>
      </w:r>
      <w:r>
        <w:rPr>
          <w:rFonts w:ascii="Times New Roman" w:cs="Times New Roman" w:eastAsia="Times New Roman" w:hAnsi="Times New Roman"/>
          <w:b w:val="false"/>
          <w:bCs w:val="false"/>
          <w:i w:val="false"/>
          <w:iCs w:val="false"/>
          <w:sz w:val="22"/>
          <w:szCs w:val="22"/>
        </w:rPr>
        <w:t xml:space="preserve">Our second finding was that temporal splitting was necessary but not sufficient. Section 6.2 already bounded that claim to classes occupying a single contiguous window and recorded that the structure was untested elsewhere. It is now tested once, and CICIDS2017 does not have it: the probe that survives temporal ordering on GeNIS at 0.9862 collapses to 0.1028. The lesson that carries is therefore weaker than one corpus suggested, and more useful. Whether a temporal protocol neutralises a schedule shortcut is a measurable property of the corpus rather than a property of the protocol, and the timestamp probe run under both protocols is the measurement. We would rather report a finding narrowed by evidence than leave the wider version standing on a single corpus.</w:t>
      </w:r>
    </w:p>
    <w:p>
      <w:pPr>
        <w:spacing w:after="120" w:line="276"/>
        <w:jc w:val="both"/>
      </w:pPr>
      <w:r>
        <w:rPr>
          <w:rFonts w:ascii="Times New Roman" w:cs="Times New Roman" w:eastAsia="Times New Roman" w:hAnsi="Times New Roman"/>
          <w:b/>
          <w:bCs/>
          <w:i w:val="false"/>
          <w:iCs w:val="false"/>
          <w:sz w:val="22"/>
          <w:szCs w:val="22"/>
        </w:rPr>
        <w:t xml:space="preserve">What this section does not do. </w:t>
      </w:r>
      <w:r>
        <w:rPr>
          <w:rFonts w:ascii="Times New Roman" w:cs="Times New Roman" w:eastAsia="Times New Roman" w:hAnsi="Times New Roman"/>
          <w:b w:val="false"/>
          <w:bCs w:val="false"/>
          <w:i w:val="false"/>
          <w:iCs w:val="false"/>
          <w:sz w:val="22"/>
          <w:szCs w:val="22"/>
        </w:rPr>
        <w:t xml:space="preserve">It is an audit, not a benchmark: no detector ranking, no seeds and no significance testing were computed on CICIDS2017, and every statement in Section 6 about which detector wins remains a statement about GeNIS. The probes are also smaller than their GeNIS counterparts. The single-feature sweep runs on a stratified subsample of 300 000 training flows, and permutation importance comes from one reference model over five repeats on 15 000 test flows, scored on accuracy; that is the measure a standard pipeline would use, which is the point of the comparison, but on an 80% majority class it resolves little, and the zeros in Table 10 are zeros of that measure. Two corpora are not a survey either, and both are laboratory captures with scripted attacks rather than observed production traffic. The third finding, the autoencoder, was not re-examined at all. Finally, we used the original released CICIDS2017 files rather than one of the corrected redistributions [1, 2, 3], because what we audit here is column structure and capture schedule rather than label quality; a replication on corrected labels could move the eligibility counts and should be expected to.</w:t>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[26, 27]. How often exporters emit several statistics of the same underlying quantity is not settled by one corpus either, but it is no longer untested: Section 7 finds seven pairs of numerically identical columns in CICIDS2017, produced by a different exporter, and ten of the fourteen columns involved receive an attribution score of exactly zero.</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Section 7 tests that structure on one further corpus and does not find it: on CICIDS2017 the same probe falls to 0.1028 under the per-class temporal protocol, because benign traffic there runs across all five capture days rather than in a window of its own. The transferable claim is therefore narrower than a single corpus suggested, and it is a claim about corpora rather than about protocols: whether chronological evaluation neutralises a schedule shortcut depends on the capture design, and a timestamp probe under both protocols measures it in one decision tree.</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The four axes below are all measured on a stable basis, Table 11 collects them and Figure 14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 is the result we did not expect.</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stays at macro-F1 1.0000 with a zero false-positive rate at 5, 10, 30 and 60 seconds. The DNN is not: it falls from 0.9981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three collapsed to 0.8374 with a 7.71% false-positive rate while the other two stayed near 1.0000.</w:t>
      </w:r>
    </w:p>
    <w:p>
      <w:pPr>
        <w:spacing w:after="120" w:line="276" w:lineRule="auto"/>
        <w:jc w:val="both"/>
      </w:pPr>
      <w:r>
        <w:rPr>
          <w:b/>
          <w:bCs/>
        </w:rPr>
        <w:t xml:space="preserve">Sharp posteriors are a liability wherever confidence is consumed.</w:t>
      </w:r>
      <w:r>
        <w:t xml:space="preserve"> Expected calibration error is at most 0.0009 for every model except naive Bayes, so calibration in the usual sense is not the discriminating criterion.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11.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1.0000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wp:inline distT="0" distB="0" distL="0" distR="0">
            <wp:extent cx="5267325" cy="3973111"/>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67325" cy="3973111"/>
                    </a:xfrm>
                    <a:prstGeom prst="rect">
                      <a:avLst/>
                    </a:prstGeom>
                  </pic:spPr>
                </pic:pic>
              </a:graphicData>
            </a:graphic>
          </wp:inline>
        </w:drawing>
      </w:r>
    </w:p>
    <w:p>
      <w:pPr>
        <w:spacing w:after="120" w:line="276" w:lineRule="auto"/>
        <w:jc w:val="both"/>
      </w:pPr>
      <w:r>
        <w:rPr>
          <w:rFonts w:ascii="Calibri" w:eastAsia="Calibri" w:hAnsi="Calibri" w:cs="Calibri"/>
          <w:b/>
          <w:bCs/>
          <w:sz w:val="18"/>
          <w:szCs w:val="18"/>
        </w:rPr>
        <w:t xml:space="preserve">Figure 14.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12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12.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[10]</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[15]</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[19]</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corpus;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13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13.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 0.54]</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14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second-widest region of the distribution rather than the widest.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14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spacing w:after="100" w:before="240"/>
        <w:jc w:val="both"/>
      </w:pPr>
      <w:r>
        <w:rPr>
          <w:rFonts w:ascii="Calibri" w:cs="Calibri" w:eastAsia="Calibri" w:hAnsi="Calibri"/>
          <w:b/>
          <w:bCs/>
          <w:i w:val="false"/>
          <w:iCs w:val="false"/>
          <w:sz w:val="18"/>
          <w:szCs w:val="18"/>
        </w:rPr>
        <w:t xml:space="preserve">Table 14.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[15];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5 029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one protocol only. </w:t>
      </w:r>
      <w:r>
        <w:rPr>
          <w:rFonts w:ascii="Times New Roman" w:cs="Times New Roman" w:eastAsia="Times New Roman" w:hAnsi="Times New Roman"/>
          <w:b w:val="false"/>
          <w:bCs w:val="false"/>
          <w:i w:val="false"/>
          <w:iCs w:val="false"/>
          <w:sz w:val="22"/>
          <w:szCs w:val="22"/>
        </w:rPr>
        <w:t xml:space="preserve">Expected calibration error is computed on the stratified seed-1 partition. Since that partition is saturated, the finding that calibration had little left to repair may not extend to the temporal protocol, where accuracy is lower and confidences may be less reliable. Measuring calibration under temporal evaluation is the natural next step.</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and the audit was repeated on one further corpus (Section 7), which is a check on the audit rather than a second benchmark.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and Section 7 reports what happened when we tested the first two of them on CICIDS2017.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We publish a twelve-feature blacklist together with the full transferability spectrum under both normalisations, from which a stricter seventeen-feature blacklist can be derived, as well as the frozen splits, the calibrated operating points,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CICIDS2017, used for the external audit of Section 7 in its GeneratedLabelledFlows distribution, is distributed by the Canadian Institute for Cybersecurity [9].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notebook that performs the external audit of Section 7 and the result file it writes, which carries the day matrix, both timestamp probes, the transferability of all sixty-nine behavioural features and the permutation importances of Table 10, are in the code repository.</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[11]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[12]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[13]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[14]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[15]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[16]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[17]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[18]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[19]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[20]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[21]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[22]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[23]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[24]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[25]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[26]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[27] G. Hooker, L. Mentch, S. Zhou, Unrestricted permutation forces extrapolation: variable importance requires at least one more model, or there is no free variable importance, Statistics and Computing 31 (82) (2021). https://doi.org/10.1007/s11222-021-10057-z.</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