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dishonest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15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3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one does not, and the one that does not is the more useful result.</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13b).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and that is a result. </w:t>
      </w:r>
      <w:r>
        <w:rPr>
          <w:rFonts w:ascii="Times New Roman" w:cs="Times New Roman" w:eastAsia="Times New Roman" w:hAnsi="Times New Roman"/>
          <w:b w:val="false"/>
          <w:bCs w:val="false"/>
          <w:i w:val="false"/>
          <w:iCs w:val="false"/>
          <w:sz w:val="22"/>
          <w:szCs w:val="22"/>
        </w:rPr>
        <w:t xml:space="preserve">The transferability scan is the part of the audit that could have embarrassed it. Of the 69 behavioural columns, 43 pass the predictivity filter, and not one of them falls below the transferability threshold: the lowest value is 0.6726, on Bwd IAT Std, well clear of 0.50, and the distribution has no cluster near the threshold at all (Figure 13a). The behavioural blacklist for CICIDS2017 is therefore empty, and the audited condition coincides with the clean one. We report this because the opposite would have been the more flattering outcome, and because it answers the symmetric suspicion: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13.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6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14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14.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3_cicids2017_audit.png"/><Relationship Id="rId24" Type="http://schemas.openxmlformats.org/officeDocument/2006/relationships/image" Target="media/figure15_horizon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