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with four complementary feature tests, an explicit protocol rather than a leakage-free guarantee, and benchmark it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The benign-trained autoencoder reached AUROC 0.0000 against PSH-ACK floods, below chance overall.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as an audited protocol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feature auditing,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Three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[16], and security is a domain where the stakes of the confusion are highest. Arp et al. catalogue the recurring pitfalls of security ML (sampling bias, spurious correlations, data snooping) and find them endemic in published work [17]. Two lines are directly upstream of ours. TESSERACT demonstrated that ignoring temporal structure inflates malware-classification results, and argued for chronologically consistent splits as a validity requirement rather than a robustness extra [18]. Closer to network flows, D'hooge et al. first measured how far supervised detection carries from one CICIDS corpus to the other, over twelve algorithms and one shared preprocessing pipeline, and found the transfer far weaker than the within-corpus scores suggest [19]. The same group then established the contaminating effect of metadata features in NIDS models: the destination port alone separates ten state-of-the-art IDS datasets at 70–100% accuracy, so any model given that feature learns a dataset artefact rather than traffic behaviour [20].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[21].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[22].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[23], and a detector whose confidence is miscalibrated cannot drive thresholded automation; temperature scaling [23] and selective classification with a reject option [24, 25] are the standard correctives, and uncertainty quantification is increasingly argued to be a first-class requirement for trustworthy NIDS [26]. Class imbalance interacts with all of this. Under the natural distribution of GeNIS (7.4% benign traffic at the 60-second interval), accuracy is close to vacuous and metrics such as macro-F1 and the Matthews correlation coefficient are the informative ones [27]. Finally, the tabular-learning literature gives strong prior reason to include tree ensembles alongside deep detectors. Gradient-boosted trees remain consistently competitive or superior on tabular data [28, 29], with attention-based architectures such as the FT-Transformer as the strongest deep contenders [30].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[31].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[32],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[19]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[33]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[20].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[30].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[18]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[34, 35].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[34, 35],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[36].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[18]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[34, 35],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[20],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[34, 35].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[20].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[17]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[18]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[19]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[20]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[21]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[22]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[23]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[24]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[25]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[26]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[27]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[28]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[29]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[30]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[31]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[32]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[33]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[34]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[35]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[36]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