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Shortcut-Audited Benchmark of Eleven Detectors on the GeNIS 2025 Corpus: Calibration, Cost, and Protocol Robustness under the Natural Distribution</w:t>
      </w:r>
    </w:p>
    <w:p>
      <w:pPr>
        <w:spacing w:after="60"/>
        <w:jc w:val="center"/>
      </w:pPr>
      <w:r>
        <w:rPr>
          <w:rFonts w:ascii="Times New Roman" w:cs="Times New Roman" w:eastAsia="Times New Roman" w:hAnsi="Times New Roman"/>
          <w:sz w:val="24"/>
          <w:szCs w:val="24"/>
        </w:rPr>
        <w:t xml:space="preserve">Mohamed Ala Eddine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w:t>
      </w:r>
      <w:r>
        <w:rPr>
          <w:rFonts w:ascii="Times New Roman" w:cs="Times New Roman" w:eastAsia="Times New Roman" w:hAnsi="Times New Roman"/>
          <w:b w:val="false"/>
          <w:bCs w:val="false"/>
          <w:i w:val="false"/>
          <w:iCs w:val="false"/>
          <w:color w:val="444444"/>
          <w:sz w:val="20"/>
          <w:szCs w:val="20"/>
        </w:rPr>
        <w:t xml:space="preserve"> Corresponding author.</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published numbers become reference numbers. GeNIS, released in 2025 from an independent CyberRange capture, is at that stage. We audit it for schedule-dependent shortcuts and benchmark it over 154 runs across three feature conditions, two protocols and five seeds, with paired tests. Three findings have methodological implications, and we re-test two of them on CICIDS2017. Attribution-based auditing scored all eight behavioural shortcuts below 10⁻⁴, because they are mutually redundant and six numerically identical. Only isolated two-protocol evaluation exposed them. CICIDS2017 carries seven such pairs, ten of whose columns score zero. Chronological evaluation alone did not neutralise the shortcut disjoint attack windows create, a timestamp-only probe reaching 98.6% nine-class accuracy under a label-aware per-class temporal split against a 19.4% majority. On CICIDS2017 it falls to 10.3%, so whether temporal splitting suffices is a corpus property to measure. The benign-trained autoencoder reached AUROC 0.0000 against PSH-ACK floods, below chance overall. For the corpus itself, a random split saturates the task, leaving eleven model pairs indistinguishable and the ranking uninterpretable. Under temporal evaluation the FT-Transformer leads and the boosted trees that dominated fall behind every neural detector and the linear model. Calibration degrades the same way for nine of eleven detectors. On cost, logistic regression leads XGBoost on four of five measured axes, trailing the best temporal macro-F1 by 0.0020 at 1 097 times its throughput. We release the blacklist, splits, calibration, cost and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GeNIS, benchmark, shortcut learning, feature auditing, temporal evaluation, model calibration,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[30],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the threshold is the part of this rule that travels least well. The nested audit below returns the eight excluded columns as the eight lowest ratios, separated from the rest by the widest gap in that distribution, whereas a literal 0.50 cut excludes nothing under that design. What identifies a shortcut is therefore its rank and the gap that isolates it, and 0.50 is the number this campaign cut at. A reader meeting it here should also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subsection first documented was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Six further detectors, and what they settle. </w:t>
      </w:r>
      <w:r>
        <w:rPr>
          <w:rFonts w:ascii="Times New Roman" w:cs="Times New Roman" w:eastAsia="Times New Roman" w:hAnsi="Times New Roman"/>
          <w:b w:val="false"/>
          <w:bCs w:val="false"/>
          <w:i w:val="false"/>
          <w:iCs w:val="false"/>
          <w:sz w:val="22"/>
          <w:szCs w:val="22"/>
        </w:rPr>
        <w:t xml:space="preserve">That study covered three detectors when this subsection was written and now covers nine. Two of the six added hold at every interval, k-NN never below 0.9931 and random forest never below 0.9998, so the stable group is not the boosted ensembles alone. The RNN takes one seed of three to 0.9163 at 10 s and stays above 0.9916 otherwise, which is the shape of LightGBM's failure and at the same interval. The CNN and logistic regression do what the DNN does and go further. One falls from 0.9942 at 60 s to 0.7388 at 30 s and 0.4620 at 5 s, the other from 0.9963 to 0.6076 and then 0.3831 at 10 s, both on all three seeds rather than on one. Naive Bayes moves the other way, from 0.4464 at 60 s to 0.7825 at 5 s, and we report that without offering a mechanism for it. What separates the two groups is not depth. k-NN is distance-based and holds, logistic regression is linear and does not.</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 One element of the procedure does not carry to another corpus, and it is the threshold. Section 4.3 recovers the eight columns by their rank and by the gap that isolates them under an audit design where the literal 0.50 cut excludes nothing, so a study on a different corpus should transport the ranking and the gap rather than the number.</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at the 60-second interval, and only there. Section 6.4 measures it at 0.6076 at 30 s and 0.3831 at 10 s, so the recommendation holds where the aggregation window is the deployer's to fix and not otherwise. Any claim that a deep architecture is required here still has to answer the cost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Four detectors are indifferent to it. XGBoost never falls below 0.9998 across its twenty runs, with a zero false-positive rate at every interval, and random forest and k-NN never fall below 0.9998 and 0.9931. LightGBM holds as well, apart from the single seed Section 6.4 documents.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at the 60-second interval. It is ahead of XGBoost on four of the five axes we measure for both — batched throughput, median latency, tail latency and temporal macro-F1 — and behind on one, stratified macro-F1, which is the axis this paper spends its length arguing is not interpretable on this corpus. XGBoost or random forest where the aggregation interval is outside the deployer's control. Both hold macro-F1 at or above 0.9998 at 5, 10, 30 and 60 s, and XGBoost is unchanged to four decimals by tuning. The interval study covers logistic regression now, and the comparison it was once unable to make comes out against it.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 A second limit bounds what that axis means. The per-class split orders flows inside each class and therefore uses the label to build its partition, so it measures whether a detector still recognises later flows of a family it has already seen, and not what it would do on an unlabelled stream arriving after training (Section 4.2). These are recommendations under that diagnostic.</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nine of the eleven detectors, the FT-Transformer excepted for the cost recorded in Section 9;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0.61 at 30 s, 0.38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0.74 at 30 s, 0.46 at 5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at 0.92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0.9931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rises to 0.78 at 5 s</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the GeNIS 2025 corpus for schedule-dependent shortcuts and benchmarked it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What a study on another corpus should carry over is the ranking that procedure produces and the gap that isolates its lowest columns, not the threshold we cut ours at.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per-class temporal protocol, a label-using diagnostic rather than a model of deployment,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A fourth addition extends the interval study of Section 6.4 from three detectors to nine, seventy-two runs over three seeds and three intervals, under experiments/e5 with its cell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keepNext/>
        <w:spacing w:after="120" w:before="320"/>
      </w:pPr>
      <w:r>
        <w:rPr>
          <w:rFonts w:ascii="Calibri" w:cs="Calibri" w:eastAsia="Calibri" w:hAnsi="Calibri"/>
          <w:b/>
          <w:bCs/>
          <w:color w:val="1F3864"/>
          <w:sz w:val="28"/>
          <w:szCs w:val="28"/>
        </w:rPr>
        <w:t xml:space="preserve">13. Declaration of competing interest</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declare that they have no known competing financial interests or personal relationships that could have appeared to influence the work reported in this paper. This research did not receive any specific grant from funding agencies in the public, commercial, or not-for-profit sectors.</w:t>
      </w:r>
    </w:p>
    <w:p>
      <w:pPr>
        <w:pStyle w:val="Heading1"/>
        <w:keepNext/>
        <w:spacing w:after="120" w:before="320"/>
      </w:pPr>
      <w:r>
        <w:rPr>
          <w:rFonts w:ascii="Calibri" w:cs="Calibri" w:eastAsia="Calibri" w:hAnsi="Calibri"/>
          <w:b/>
          <w:bCs/>
          <w:color w:val="1F3864"/>
          <w:sz w:val="28"/>
          <w:szCs w:val="28"/>
        </w:rPr>
        <w:t xml:space="preserve">14. CRediT authorship contribution statement</w:t>
      </w:r>
    </w:p>
    <w:p>
      <w:pPr>
        <w:spacing w:after="120" w:line="276"/>
        <w:jc w:val="both"/>
      </w:pPr>
      <w:r>
        <w:rPr>
          <w:rFonts w:ascii="Times New Roman" w:cs="Times New Roman" w:eastAsia="Times New Roman" w:hAnsi="Times New Roman"/>
          <w:b w:val="false"/>
          <w:bCs w:val="false"/>
          <w:i w:val="false"/>
          <w:iCs w:val="false"/>
          <w:sz w:val="22"/>
          <w:szCs w:val="22"/>
        </w:rPr>
        <w:t xml:space="preserve">Mohamed Ala Eddine Bahri: Conceptualization, Methodology, Software, Validation, Formal analysis, Investigation, Data curation, Writing – original draft, Visualization. Farah Jemili: Conceptualization, Methodology, Supervision, Writing – review and editing. Mohamed Mosbah: Supervision, Writing – review and editing.</w:t>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