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a campaign of 154 runs with paired significance tests. Three of the findings have methodological implications, and we test each of them by re-running the audit on CICIDS2017. The first is that attribution-based auditing assigned near-zero importance to every behavioural shortcut we found. All eight score below 10⁻⁴, because they are mutually redundant and six of them are numerically identical columns. Isolated two-protocol evaluation exposed them, and CICIDS2017 carries seven such pairs whose fourteen columns include ten that score exactly zero. The second is that chronological evaluation alone did not neutralise the shortcut created by disjoint attack windows. A timestamp-only probe still reached 98.6% nine-class accuracy under a per-class temporal split, against a 19.4% majority rate. On CICIDS2017 it collapses to 10.3%, so the sufficiency of temporal splitting is a corpus property to be measured, not assumed. The third is that the benign-trained autoencoder was anti-correlated with volumetric floods, reaching AUROC 0.0000 against PSH-ACK floods, which reconstruct more easily than benign traffic. For the corpus itself, a random split saturates the task. Eleven model pairs are indistinguishable and the ranking is uninterpretable. Under temporal evaluation the FT-Transformer leads and the boosted trees that dominated fall behind every neural detector and the linear model. Calibration follows the same pattern, near-perfect under a random split and degrading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6.8 it is 1.02, so single-feature accuracy is not lower under the temporal protocol but marginally higher; and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and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those models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not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k-NN is the worst of both worlds, paying 621 flows/s, 25.8 ms and 11.4 MB for a temporal macro-F1 of 0.9574, eighth of nine. One caveat governs how the latency column may be read. The four Keras models return median latencies within 4% of each other (76.8 to 80.1 ms) although their batched throughput differs by a factor of 95, so that column is dominated by a fixed per-call overhead of the prediction API and is not comparable with the scikit-learn column. The throughput column does amortise that overhead: it is one call over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Latency, throughput and macro-F1 are measured on the audited condition as corrected in Section 9, over 54 columns, in a single session with the Keras models pinned to the CPU.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k-nearest neighbours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and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