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a campaign of 154 runs with paired significance tests. Three of the findings have methodological implications, and we test each of them by re-running the audit on CICIDS2017. The first is that attribution-based auditing assigned near-zero importance to every behavioural shortcut we found. All eight score below 10⁻⁴, because they are mutually redundant and six of them are numerically identical columns. Isolated two-protocol evaluation exposed them, and CICIDS2017 carries seven such pairs whose fourteen columns include ten that score exactly zero. The second is that chronological evaluation alone did not neutralise the shortcut created by disjoint attack windows. A timestamp-only probe still reached 98.6% nine-class accuracy under a per-class temporal split, against a 19.4% majority rate. On CICIDS2017 it collapses to 10.3%, so the sufficiency of temporal splitting is a corpus property to be measured, not assumed. The third is that the benign-trained autoencoder was anti-correlated with volumetric floods, reaching AUROC 0.0000 against PSH-ACK floods, which reconstruct more easily than benign traffic. For the corpus itself, a random split saturates the task. Eleven model pairs are indistinguishable and the ranking is uninterpretable. Under temporal evaluation the FT-Transformer leads and the boosted trees that dominated fall behind every neural detector and the linear model. Calibration follows the same pattern, near-perfect under a random split and degrading for nine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[30],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is degenerate here and is reported as a property of the corpus rather than used as a protocol.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a reader meeting them here should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Of the 45 model pairs,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Latency, throughput and macro-F1 are measured on the audited condition as corrected in Section 9, over 54 columns, in a single session with the Keras models pinned to the CPU.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never falls below 0.9998 across its twenty runs, with a zero false-positive rate at every interval.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It is ahead of XGBoost on four of the five axes we measure for both — batched throughput, median latency, tail latency and temporal macro-F1 — and behind on one, stratified macro-F1, which is the axis this paper spends its length arguing is not interpretable on this corpus. XGBoost where the aggregation interval is outside the deployer's control: it is the only detector shown to hold macro-F1 at or above 0.9999 at 5, 10, 30 and 60 s, and it is unchanged to four decimals by tuning. That is not a comparison with logistic regression, which the interval study does not cover, and stating it as one would be the error this paper documents elsewhere.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the three detectors carried through the multi-interval study;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w:t>
      </w:r>
      <w:r>
        <w:rPr>
          <w:rFonts w:ascii="Consolas" w:cs="Consolas" w:eastAsia="Times New Roman" w:hAnsi="Consolas"/>
          <w:b w:val="false"/>
          <w:bCs w:val="false"/>
          <w:i w:val="false"/>
          <w:iCs w:val="false"/>
          <w:sz w:val="22"/>
          <w:szCs w:val="22"/>
        </w:rPr>
        <w:t xml:space="preserve">paper/make_blacklist_csv.py</w:t>
      </w:r>
      <w:r>
        <w:rPr>
          <w:rFonts w:ascii="Times New Roman" w:cs="Times New Roman" w:eastAsia="Times New Roman" w:hAnsi="Times New Roman"/>
          <w:b w:val="false"/>
          <w:bCs w:val="false"/>
          <w:i w:val="false"/>
          <w:iCs w:val="false"/>
          <w:sz w:val="22"/>
          <w:szCs w:val="22"/>
        </w:rPr>
        <w:t xml:space="preserve">,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 Maia, J. Vitorino, I. Praça, Machine unlearning for the XGBoost model with network intrusion datasets, in: Recent Trends and Challenges in Information Systems and Technologies (WorldCIST 2026), Springer, 2026, pp. 150–162, arXiv:2606.19220.</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