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line="276" w:lineRule="auto" w:before="0" w:after="80"/>
        <w:jc w:val="center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ЗВІТ</w:t>
      </w:r>
    </w:p>
    <w:p>
      <w:pPr>
        <w:keepNext w:val="0"/>
        <w:keepLines/>
        <w:spacing w:line="276" w:lineRule="auto" w:before="0" w:after="80"/>
        <w:jc w:val="center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про виконання лабораторної роботи №2</w:t>
      </w:r>
    </w:p>
    <w:p>
      <w:pPr>
        <w:keepNext w:val="0"/>
        <w:keepLines/>
        <w:spacing w:line="276" w:lineRule="auto" w:before="0" w:after="80"/>
        <w:jc w:val="center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«Регресійний аналіз даних. Кореляція»</w:t>
      </w:r>
    </w:p>
    <w:p>
      <w:pPr>
        <w:keepNext w:val="0"/>
        <w:keepLines/>
        <w:spacing w:line="276" w:lineRule="auto" w:before="0" w:after="80"/>
        <w:jc w:val="center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з дисципліни</w:t>
      </w:r>
    </w:p>
    <w:p>
      <w:pPr>
        <w:keepNext w:val="0"/>
        <w:keepLines/>
        <w:spacing w:line="276" w:lineRule="auto" w:before="0" w:after="80"/>
        <w:jc w:val="center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«Інтелектуальний аналіз даних»</w:t>
      </w:r>
    </w:p>
    <w:p>
      <w:pPr>
        <w:keepNext w:val="0"/>
        <w:keepLines/>
        <w:spacing w:line="276" w:lineRule="auto" w:before="0" w:after="80"/>
        <w:jc w:val="center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Студента групи КН-2327б</w:t>
      </w:r>
    </w:p>
    <w:p>
      <w:pPr>
        <w:keepNext w:val="0"/>
        <w:keepLines/>
        <w:spacing w:line="276" w:lineRule="auto" w:before="0" w:after="80"/>
        <w:jc w:val="center"/>
      </w:pP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Багрія-Белза Андрія</w:t>
      </w:r>
    </w:p>
    <w:p>
      <w:pPr>
        <w:keepNext/>
        <w:keepLines/>
        <w:spacing w:line="276" w:lineRule="auto" w:before="0" w:after="80"/>
        <w:jc w:val="both"/>
      </w:pP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 xml:space="preserve">Мета роботи: 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Дослідити лінійні взаємозв'язки між числовими змінними засобами Python, навчитися обчислювати коефіцієнт кореляції Пірсона, будувати парну лінійну регресійну модель, оцінювати її адекватність за метриками R² та MSE/RMSE, а також здійснювати статистичну діагностику залишків моделі на нормальність та гомоскедастичність.</w:t>
      </w:r>
    </w:p>
    <w:p>
      <w:pPr>
        <w:keepNext/>
        <w:keepLines/>
        <w:spacing w:line="276" w:lineRule="auto" w:before="0" w:after="80"/>
        <w:jc w:val="both"/>
      </w:pP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 xml:space="preserve">Завдання 1: 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Дослідження взаємозв'язку між довжиною тіла та вагою анаконд (основний набір даних anaconda.dat).</w:t>
      </w:r>
    </w:p>
    <w:p>
      <w:pPr>
        <w:keepNext w:val="0"/>
        <w:keepLines/>
        <w:spacing w:line="276" w:lineRule="auto" w:before="0" w:after="80"/>
        <w:jc w:val="both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Набір даних містить 56 спостережень дорослих анаконд (по 28 особин кожної статі). Категоріальну змінну статі закодовано бінарно: M = 0 (самці), F = 1 (самиці). Обчислено кореляційну матрицю Пірсона для довжини тіла (X, см), маси (Y, кг) та статі.</w:t>
      </w:r>
    </w:p>
    <w:p>
      <w:pPr>
        <w:keepNext/>
        <w:keepLines/>
        <w:spacing w:line="276" w:lineRule="auto" w:before="0" w:after="80"/>
        <w:jc w:val="left"/>
      </w:pP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Матриця кореляції та параметри лінійної регресії anaconda.dat:</w:t>
      </w:r>
    </w:p>
    <w:p>
      <w:pPr>
        <w:keepNext w:val="0"/>
        <w:keepLines/>
        <w:spacing w:line="276" w:lineRule="auto" w:before="0" w:after="80"/>
        <w:jc w:val="both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Між довжиною тіла X та масою тіла Y виявлено надзвичайно сильний прямий лінійний зв'язок: </w:t>
      </w: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r = 0.9614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 (p-value = </w:t>
      </w: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6.18e-32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, що свідчить про абсолютну статистичну значущість зв'язку). Кореляція між довжиною та закодованою статтю становить r = 0.7661, а між масою та статтю — r = 0.7299 (самиці помітно більші за самців).</w:t>
      </w:r>
    </w:p>
    <w:p>
      <w:pPr>
        <w:keepNext w:val="0"/>
        <w:keepLines/>
        <w:spacing w:line="276" w:lineRule="auto" w:before="0" w:after="80"/>
        <w:jc w:val="both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Побудовано модель парної лінійної регресії за методом найменших квадратів:</w:t>
      </w:r>
    </w:p>
    <w:p>
      <w:pPr>
        <w:keepNext/>
        <w:keepLines/>
        <w:spacing w:line="276" w:lineRule="auto" w:before="120" w:after="120"/>
        <w:jc w:val="center"/>
      </w:pPr>
      <w:r>
        <w:rPr>
          <w:rFonts w:ascii="Times New Roman" w:hAnsi="Times New Roman"/>
          <w:b w:val="0"/>
          <w:i/>
          <w:sz w:val="28"/>
          <w:rFonts w:ascii="Times New Roman" w:hAnsi="Times New Roman" w:cs="Times New Roman" w:eastAsia="Times New Roman"/>
        </w:rPr>
        <w:t>ŷ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 = 0.2530 · </w:t>
      </w:r>
      <w:r>
        <w:rPr>
          <w:rFonts w:ascii="Times New Roman" w:hAnsi="Times New Roman"/>
          <w:b w:val="0"/>
          <w:i/>
          <w:sz w:val="28"/>
          <w:rFonts w:ascii="Times New Roman" w:hAnsi="Times New Roman" w:cs="Times New Roman" w:eastAsia="Times New Roman"/>
        </w:rPr>
        <w:t>X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 − 50.7306</w:t>
      </w:r>
    </w:p>
    <w:p>
      <w:pPr>
        <w:keepNext w:val="0"/>
        <w:keepLines/>
        <w:spacing w:line="276" w:lineRule="auto" w:before="0" w:after="80"/>
        <w:jc w:val="both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де кутовий коефіцієнт a = 0.2530, вільний член b = -50.7306. Коефіцієнт детермінації становить </w:t>
      </w: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R² = 0.9243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, тобто побудована модель пояснює 92.43% дисперсії маси анаконди. Середньоквадратична помилка становить </w:t>
      </w: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MSE = 31.9250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 (RMSE = </w:t>
      </w: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5.6502 кг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).</w:t>
      </w:r>
    </w:p>
    <w:p>
      <w:pPr>
        <w:keepNext/>
        <w:keepLines/>
        <w:spacing w:line="276" w:lineRule="auto" w:before="0" w:after="80"/>
        <w:jc w:val="left"/>
      </w:pP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Графік емпіричних даних та підігнаної прямої регресії:</w:t>
      </w:r>
    </w:p>
    <w:p>
      <w:pPr>
        <w:keepNext w:val="0"/>
        <w:keepLines/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_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76" w:lineRule="auto" w:before="0" w:after="80"/>
        <w:jc w:val="left"/>
      </w:pP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Діагностика залишків моделі (лінійність та гомоскедастичність):</w:t>
      </w:r>
    </w:p>
    <w:p>
      <w:pPr>
        <w:keepNext w:val="0"/>
        <w:keepLines/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duals_pl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276" w:lineRule="auto" w:before="0" w:after="80"/>
        <w:jc w:val="both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Середнє арифметичне значення залишків регресії становить практично нуль (-8.44e-15 кг), що підтверджує незміщеність оцінки МНК. Проте графік залишків Residuals vs Predictor X демонструє явну U-подібну форму та розширення дисперсії при зростанні довжини: для малих і великих значень довжини залишки переважно додатні, а для середніх — від'ємні. Це свідчить про наявність гетероскедастичності та нелінійного (наближеного до степеневого/кубічного) характеру залежності маси від довжини в біологічних об'єктах.</w:t>
      </w:r>
    </w:p>
    <w:p>
      <w:pPr>
        <w:keepNext/>
        <w:keepLines/>
        <w:spacing w:line="276" w:lineRule="auto" w:before="0" w:after="80"/>
        <w:jc w:val="left"/>
      </w:pP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Гістограма розподілу залишків та оцінка нормальності:</w:t>
      </w:r>
    </w:p>
    <w:p>
      <w:pPr>
        <w:keepNext w:val="0"/>
        <w:keepLines/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duals_h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276" w:lineRule="auto" w:before="0" w:after="80"/>
        <w:jc w:val="both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Оцінка нормальності розподілу залишків за критерієм Шапіро-Уїлка дала статистику W = 0.9176 (p-value = </w:t>
      </w: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9.67e-04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 &lt; 0.05). Це дозволяє відхилити нульову гіпотезу про нормальний розподіл залишків на користь правосторонньої асиметрії, що додатково аргументує доцільність використання нелінійної або степеневої алометричної моделі (наприклад, </w:t>
      </w:r>
      <w:r>
        <w:rPr>
          <w:rFonts w:ascii="Times New Roman" w:hAnsi="Times New Roman"/>
          <w:b w:val="0"/>
          <w:i/>
          <w:sz w:val="28"/>
          <w:rFonts w:ascii="Times New Roman" w:hAnsi="Times New Roman" w:cs="Times New Roman" w:eastAsia="Times New Roman"/>
        </w:rPr>
        <w:t>Y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 = </w:t>
      </w:r>
      <w:r>
        <w:rPr>
          <w:rFonts w:ascii="Times New Roman" w:hAnsi="Times New Roman"/>
          <w:b w:val="0"/>
          <w:i/>
          <w:sz w:val="28"/>
          <w:rFonts w:ascii="Times New Roman" w:hAnsi="Times New Roman" w:cs="Times New Roman" w:eastAsia="Times New Roman"/>
        </w:rPr>
        <w:t>a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 · </w:t>
      </w:r>
      <w:r>
        <w:rPr>
          <w:rFonts w:ascii="Times New Roman" w:hAnsi="Times New Roman"/>
          <w:b w:val="0"/>
          <w:i/>
          <w:sz w:val="28"/>
          <w:rFonts w:ascii="Times New Roman" w:hAnsi="Times New Roman" w:cs="Times New Roman" w:eastAsia="Times New Roman"/>
        </w:rPr>
        <w:t>X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ᵇ) у практичних задачах біометрії.</w:t>
      </w:r>
    </w:p>
    <w:p>
      <w:pPr>
        <w:keepNext/>
        <w:keepLines/>
        <w:spacing w:line="276" w:lineRule="auto" w:before="0" w:after="80"/>
        <w:jc w:val="both"/>
      </w:pP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 xml:space="preserve">Завдання 2: 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Дослідження залежності між витратами на TV-рекламу та обсягом продажів продукції на власному наборі даних Advertising.csv.</w:t>
      </w:r>
    </w:p>
    <w:p>
      <w:pPr>
        <w:keepNext w:val="0"/>
        <w:keepLines/>
        <w:spacing w:line="276" w:lineRule="auto" w:before="0" w:after="80"/>
        <w:jc w:val="both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Для дослідження використано класичний економічний набір даних Advertising.csv (200 спостережень). Досліджено парну лінійну залежність між інвестиціями в телевізійну рекламу (незалежна змінна X, тис. дол.) та обсягом продажів продукції (залежна змінна Y, тис. одиниць товару).</w:t>
      </w:r>
    </w:p>
    <w:p>
      <w:pPr>
        <w:keepNext/>
        <w:keepLines/>
        <w:spacing w:line="276" w:lineRule="auto" w:before="0" w:after="80"/>
        <w:jc w:val="left"/>
      </w:pP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Парна регресія та кореляційний аналіз ефективності реклами:</w:t>
      </w:r>
    </w:p>
    <w:p>
      <w:pPr>
        <w:keepNext w:val="0"/>
        <w:keepLines/>
        <w:spacing w:line="240" w:lineRule="auto"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stom_regres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276" w:lineRule="auto" w:before="0" w:after="80"/>
        <w:jc w:val="both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Коефіцієнт кореляції Пірсона між витратами на TV-рекламу та продажами становить </w:t>
      </w: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r = 0.7822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 при p-value = </w:t>
      </w: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1.47e-42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, що вказує на сильний стійкий прямий лінійний зв'язок зі стовідсотковою статистичною достовірністю.</w:t>
      </w:r>
    </w:p>
    <w:p>
      <w:pPr>
        <w:keepNext w:val="0"/>
        <w:keepLines/>
        <w:spacing w:line="276" w:lineRule="auto" w:before="0" w:after="80"/>
        <w:jc w:val="both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Отримана лінійна модель має вигляд:</w:t>
      </w:r>
    </w:p>
    <w:p>
      <w:pPr>
        <w:keepNext/>
        <w:keepLines/>
        <w:spacing w:line="276" w:lineRule="auto" w:before="120" w:after="120"/>
        <w:jc w:val="center"/>
      </w:pPr>
      <w:r>
        <w:rPr>
          <w:rFonts w:ascii="Times New Roman" w:hAnsi="Times New Roman"/>
          <w:b w:val="0"/>
          <w:i/>
          <w:sz w:val="28"/>
          <w:rFonts w:ascii="Times New Roman" w:hAnsi="Times New Roman" w:cs="Times New Roman" w:eastAsia="Times New Roman"/>
        </w:rPr>
        <w:t>Sales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 = 0.0475 · </w:t>
      </w:r>
      <w:r>
        <w:rPr>
          <w:rFonts w:ascii="Times New Roman" w:hAnsi="Times New Roman"/>
          <w:b w:val="0"/>
          <w:i/>
          <w:sz w:val="28"/>
          <w:rFonts w:ascii="Times New Roman" w:hAnsi="Times New Roman" w:cs="Times New Roman" w:eastAsia="Times New Roman"/>
        </w:rPr>
        <w:t>TV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 + 7.03</w:t>
      </w:r>
    </w:p>
    <w:p>
      <w:pPr>
        <w:keepNext w:val="0"/>
        <w:keepLines/>
        <w:spacing w:line="276" w:lineRule="auto" w:before="0" w:after="80"/>
        <w:jc w:val="both"/>
      </w:pP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де кутовий коефіцієнт a = 0.0475 вказує, що кожна додаткова 1 000 доларів, витрачена на TV-рекламу, забезпечує приріст продажів у середньому на 47.5 одиниць товару, а базовий обсяг продажів без реклами становить b = 7.03 тис. одиниць. Коефіцієнт детермінації становить </w:t>
      </w: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R² = 0.6119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, RMSE = </w:t>
      </w: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>3.24 тис. од.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 xml:space="preserve"> (MSE = 10.51). Таким чином, модель пояснює 61.19% варіативності продажів, а решта 38.81% припадає на інші маркетингові канали (радіо, пресу) та якість продукту.</w:t>
      </w:r>
    </w:p>
    <w:p>
      <w:pPr>
        <w:keepNext w:val="0"/>
        <w:keepLines/>
        <w:spacing w:line="276" w:lineRule="auto" w:before="0" w:after="80"/>
        <w:jc w:val="both"/>
      </w:pPr>
      <w:r>
        <w:rPr>
          <w:rFonts w:ascii="Times New Roman" w:hAnsi="Times New Roman"/>
          <w:b/>
          <w:i w:val="0"/>
          <w:sz w:val="28"/>
          <w:rFonts w:ascii="Times New Roman" w:hAnsi="Times New Roman" w:cs="Times New Roman" w:eastAsia="Times New Roman"/>
        </w:rPr>
        <w:t xml:space="preserve">Висновок: </w:t>
      </w:r>
      <w:r>
        <w:rPr>
          <w:rFonts w:ascii="Times New Roman" w:hAnsi="Times New Roman"/>
          <w:b w:val="0"/>
          <w:i w:val="0"/>
          <w:sz w:val="28"/>
          <w:rFonts w:ascii="Times New Roman" w:hAnsi="Times New Roman" w:cs="Times New Roman" w:eastAsia="Times New Roman"/>
        </w:rPr>
        <w:t>На цій лабораторній роботі я засвоїв методи побудови та діагностики моделей парної лінійної регресії і кореляційного аналізу в Python з використанням бібліотек pandas, scipy.stats, scikit-learn, matplotlib та seaborn. Я навчився оцінювати якість регресії за коефіцієнтом детермінації R², середньоквадратичною помилкою MSE/RMSE та проводити діагностику ключових передумов МНК (лінійності, гомоскедастичності та нормальності розподілу залишків). В ході роботи встановлено, що для біометричних даних анаконд лінійна модель має високий показник R² = 0.9243, проте залишки свідчать про перевагу алометричної степеневої залежності, а в аналізі маркетингових даних витрати на TV-рекламу виступають потужним драйвером продажів із високою прогнозною силою (r = 0.7822, R² = 0.6119).</w:t>
      </w:r>
    </w:p>
    <w:sectPr w:rsidR="00FC693F" w:rsidRPr="0006063C" w:rsidSect="00034616">
      <w:pgSz w:w="11906" w:h="16838"/>
      <w:pgMar w:top="850" w:right="850" w:bottom="850" w:left="85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