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ЗВІТ</w:t>
      </w:r>
    </w:p>
    <w:p>
      <w:pPr>
        <w:keepLines/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про виконання лабораторної роботи №1</w:t>
      </w:r>
    </w:p>
    <w:p>
      <w:pPr>
        <w:keepLines/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«Аналіз та візуалізація даних (EDA)»</w:t>
      </w:r>
    </w:p>
    <w:p>
      <w:pPr>
        <w:keepLines/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з дисципліни</w:t>
      </w:r>
    </w:p>
    <w:p>
      <w:pPr>
        <w:keepLines/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«Інтелектуальний аналіз даних»</w:t>
      </w:r>
    </w:p>
    <w:p>
      <w:pPr>
        <w:keepLines/>
        <w:spacing w:line="276" w:lineRule="auto" w:after="0"/>
        <w:jc w:val="center"/>
      </w:pPr>
      <w:r>
        <w:rPr>
          <w:rFonts w:ascii="Times New Roman" w:hAnsi="Times New Roman" w:cs="Times New Roman"/>
          <w:b w:val="0"/>
          <w:sz w:val="28"/>
        </w:rPr>
        <w:t>Студента групи КН-2327Б</w:t>
      </w:r>
    </w:p>
    <w:p>
      <w:pPr>
        <w:keepLines/>
        <w:spacing w:line="276" w:lineRule="auto" w:after="0"/>
        <w:jc w:val="center"/>
      </w:pPr>
      <w:r>
        <w:rPr>
          <w:rFonts w:ascii="Times New Roman" w:hAnsi="Times New Roman" w:cs="Times New Roman"/>
          <w:b/>
          <w:sz w:val="28"/>
        </w:rPr>
        <w:t>Багрія-Белза Андрія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Мета роботи: </w:t>
      </w:r>
      <w:r>
        <w:rPr>
          <w:rFonts w:ascii="Times New Roman" w:hAnsi="Times New Roman" w:cs="Times New Roman"/>
          <w:b w:val="0"/>
          <w:sz w:val="28"/>
        </w:rPr>
        <w:t>Опанувати методи дослідження даних (EDA) та побудову діаграм за допомогою Python (pandas, matplotlib, seaborn).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 xml:space="preserve">Метою лабораторної роботи є проведення дослідницького (EDA) аналізу даних та побудова діаграм у Python за допомогою бібліотек </w:t>
      </w:r>
      <w:r>
        <w:rPr>
          <w:rFonts w:ascii="Times New Roman" w:hAnsi="Times New Roman" w:cs="Times New Roman"/>
          <w:b/>
          <w:sz w:val="28"/>
        </w:rPr>
        <w:t>pandas</w:t>
      </w:r>
      <w:r>
        <w:rPr>
          <w:rFonts w:ascii="Times New Roman" w:hAnsi="Times New Roman" w:cs="Times New Roman"/>
          <w:b w:val="0"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>matplotlib</w:t>
      </w:r>
      <w:r>
        <w:rPr>
          <w:rFonts w:ascii="Times New Roman" w:hAnsi="Times New Roman" w:cs="Times New Roman"/>
          <w:b w:val="0"/>
          <w:sz w:val="28"/>
        </w:rPr>
        <w:t xml:space="preserve"> та </w:t>
      </w:r>
      <w:r>
        <w:rPr>
          <w:rFonts w:ascii="Times New Roman" w:hAnsi="Times New Roman" w:cs="Times New Roman"/>
          <w:b/>
          <w:sz w:val="28"/>
        </w:rPr>
        <w:t>seaborn</w:t>
      </w:r>
      <w:r>
        <w:rPr>
          <w:rFonts w:ascii="Times New Roman" w:hAnsi="Times New Roman" w:cs="Times New Roman"/>
          <w:b w:val="0"/>
          <w:sz w:val="28"/>
        </w:rPr>
        <w:t>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 w:val="0"/>
          <w:sz w:val="28"/>
        </w:rPr>
        <w:t xml:space="preserve">Робота складається з двох частин. У </w:t>
      </w:r>
      <w:r>
        <w:rPr>
          <w:rFonts w:ascii="Times New Roman" w:hAnsi="Times New Roman" w:cs="Times New Roman"/>
          <w:b/>
          <w:sz w:val="28"/>
        </w:rPr>
        <w:t>першій</w:t>
      </w:r>
      <w:r>
        <w:rPr>
          <w:rFonts w:ascii="Times New Roman" w:hAnsi="Times New Roman" w:cs="Times New Roman"/>
          <w:b w:val="0"/>
          <w:sz w:val="28"/>
        </w:rPr>
        <w:t xml:space="preserve"> аналізуємо тестовий датасет </w:t>
      </w:r>
      <w:r>
        <w:rPr>
          <w:rFonts w:ascii="Times New Roman" w:hAnsi="Times New Roman" w:cs="Times New Roman"/>
          <w:b/>
          <w:sz w:val="28"/>
        </w:rPr>
        <w:t>flats.csv</w:t>
      </w:r>
      <w:r>
        <w:rPr>
          <w:rFonts w:ascii="Times New Roman" w:hAnsi="Times New Roman" w:cs="Times New Roman"/>
          <w:b w:val="0"/>
          <w:sz w:val="28"/>
        </w:rPr>
        <w:t xml:space="preserve"> — дані про нерухомість (місто, кількість кімнат, площа, ціна), який містить «брудні» значення та потребує попереднього очищення. У </w:t>
      </w:r>
      <w:r>
        <w:rPr>
          <w:rFonts w:ascii="Times New Roman" w:hAnsi="Times New Roman" w:cs="Times New Roman"/>
          <w:b/>
          <w:sz w:val="28"/>
        </w:rPr>
        <w:t>другій</w:t>
      </w:r>
      <w:r>
        <w:rPr>
          <w:rFonts w:ascii="Times New Roman" w:hAnsi="Times New Roman" w:cs="Times New Roman"/>
          <w:b w:val="0"/>
          <w:sz w:val="28"/>
        </w:rPr>
        <w:t xml:space="preserve"> аналізуємо реальний датасет </w:t>
      </w:r>
      <w:r>
        <w:rPr>
          <w:rFonts w:ascii="Times New Roman" w:hAnsi="Times New Roman" w:cs="Times New Roman"/>
          <w:b/>
          <w:sz w:val="28"/>
        </w:rPr>
        <w:t>Penguin Species</w:t>
      </w:r>
      <w:r>
        <w:rPr>
          <w:rFonts w:ascii="Times New Roman" w:hAnsi="Times New Roman" w:cs="Times New Roman"/>
          <w:b w:val="0"/>
          <w:sz w:val="28"/>
        </w:rPr>
        <w:t xml:space="preserve"> (Palmer Penguins) з бібліотеки seaborn, демонструючи різні типи діаграм, зокрема обов'язковий </w:t>
      </w:r>
      <w:r>
        <w:rPr>
          <w:rFonts w:ascii="Times New Roman" w:hAnsi="Times New Roman" w:cs="Times New Roman"/>
          <w:b/>
          <w:sz w:val="28"/>
        </w:rPr>
        <w:t>boxplot</w:t>
      </w:r>
      <w:r>
        <w:rPr>
          <w:rFonts w:ascii="Times New Roman" w:hAnsi="Times New Roman" w:cs="Times New Roman"/>
          <w:b w:val="0"/>
          <w:sz w:val="28"/>
        </w:rPr>
        <w:t>.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1: </w:t>
      </w:r>
      <w:r>
        <w:rPr>
          <w:rFonts w:ascii="Times New Roman" w:hAnsi="Times New Roman" w:cs="Times New Roman"/>
          <w:b w:val="0"/>
          <w:sz w:val="28"/>
        </w:rPr>
        <w:t>Завантажити та очистити датасет flats.csv, відповісти на контрольні запитання методички та побудувати 4 діаграми (стовпчикову за містами, гістограму цін, графік розсіювання площа–ціна та коробчату діаграму цін за кількістю кімнат).</w:t>
      </w:r>
    </w:p>
    <w:p>
      <w:pPr>
        <w:keepNext/>
        <w:keepLines/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Результати візуалізації датасету flats.csv: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8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flats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8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4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flats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4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flats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flats_bo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Відповіді на контрольні запитання: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1. Розміри dataframe:</w:t>
      </w:r>
      <w:r>
        <w:rPr>
          <w:rFonts w:ascii="Times New Roman" w:hAnsi="Times New Roman" w:cs="Times New Roman"/>
          <w:b w:val="0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839 рядків × 4 стовпці</w:t>
      </w:r>
      <w:r>
        <w:rPr>
          <w:rFonts w:ascii="Times New Roman" w:hAnsi="Times New Roman" w:cs="Times New Roman"/>
          <w:b w:val="0"/>
          <w:sz w:val="28"/>
        </w:rPr>
        <w:t>. На етапі технічного завантаження та перевірки наявності пустих значень (NaN) збережено всі 839 рядків, оскільки формальних пропусків у стовпцях не було. Подальша фільтрація стосувалася вилучення змістовних цінових аномалій (оренда/USD), що детально пояснено у відповідному розділі.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2. Перші 6, перші 15 та останні 6 рядків:</w:t>
      </w:r>
      <w:r>
        <w:rPr>
          <w:rFonts w:ascii="Times New Roman" w:hAnsi="Times New Roman" w:cs="Times New Roman"/>
          <w:b w:val="0"/>
          <w:sz w:val="28"/>
        </w:rPr>
        <w:t xml:space="preserve"> успішно виведено за допомогою методів head(6), head(15) та tail(6). Початкові записи представляють квартири у Вінниці (площа 31.0–120.0 м², ціна 562 500 – 1 875 000 грн), а завершальні записи вибірки — об'єкти у Хмельницькому (площа 35.58–60.00 м², ціна 212 500 – 522 500 грн).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3. Назви стовпців:</w:t>
      </w:r>
      <w:r>
        <w:rPr>
          <w:rFonts w:ascii="Times New Roman" w:hAnsi="Times New Roman" w:cs="Times New Roman"/>
          <w:b w:val="0"/>
          <w:sz w:val="28"/>
        </w:rPr>
        <w:t xml:space="preserve"> «Місто», «Кімнат», «Загальна_площа», «Ціна».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4. Кількість змінних:</w:t>
      </w:r>
      <w:r>
        <w:rPr>
          <w:rFonts w:ascii="Times New Roman" w:hAnsi="Times New Roman" w:cs="Times New Roman"/>
          <w:b w:val="0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4</w:t>
      </w:r>
      <w:r>
        <w:rPr>
          <w:rFonts w:ascii="Times New Roman" w:hAnsi="Times New Roman" w:cs="Times New Roman"/>
          <w:b w:val="0"/>
          <w:sz w:val="28"/>
        </w:rPr>
        <w:t>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5. Кількість унікальних міст:</w:t>
      </w:r>
      <w:r>
        <w:rPr>
          <w:rFonts w:ascii="Times New Roman" w:hAnsi="Times New Roman" w:cs="Times New Roman"/>
          <w:b w:val="0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13</w:t>
      </w:r>
      <w:r>
        <w:rPr>
          <w:rFonts w:ascii="Times New Roman" w:hAnsi="Times New Roman" w:cs="Times New Roman"/>
          <w:b w:val="0"/>
          <w:sz w:val="28"/>
        </w:rPr>
        <w:t>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6. Чи всі це міста?</w:t>
      </w:r>
      <w:r>
        <w:rPr>
          <w:rFonts w:ascii="Times New Roman" w:hAnsi="Times New Roman" w:cs="Times New Roman"/>
          <w:b w:val="0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Ні.</w:t>
      </w:r>
      <w:r>
        <w:rPr>
          <w:rFonts w:ascii="Times New Roman" w:hAnsi="Times New Roman" w:cs="Times New Roman"/>
          <w:b w:val="0"/>
          <w:sz w:val="28"/>
        </w:rPr>
        <w:t xml:space="preserve"> Значення «Києво-Святошинський» позначає район (РДА), а не місто — таких рядків </w:t>
      </w:r>
      <w:r>
        <w:rPr>
          <w:rFonts w:ascii="Times New Roman" w:hAnsi="Times New Roman" w:cs="Times New Roman"/>
          <w:b/>
          <w:sz w:val="28"/>
        </w:rPr>
        <w:t>19</w:t>
      </w:r>
      <w:r>
        <w:rPr>
          <w:rFonts w:ascii="Times New Roman" w:hAnsi="Times New Roman" w:cs="Times New Roman"/>
          <w:b w:val="0"/>
          <w:sz w:val="28"/>
        </w:rPr>
        <w:t xml:space="preserve">. Тому реальних міст у датасеті </w:t>
      </w:r>
      <w:r>
        <w:rPr>
          <w:rFonts w:ascii="Times New Roman" w:hAnsi="Times New Roman" w:cs="Times New Roman"/>
          <w:b/>
          <w:sz w:val="28"/>
        </w:rPr>
        <w:t>12</w:t>
      </w:r>
      <w:r>
        <w:rPr>
          <w:rFonts w:ascii="Times New Roman" w:hAnsi="Times New Roman" w:cs="Times New Roman"/>
          <w:b w:val="0"/>
          <w:sz w:val="28"/>
        </w:rPr>
        <w:t>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7. 3-кімнатних квартир в Одесі:</w:t>
      </w:r>
      <w:r>
        <w:rPr>
          <w:rFonts w:ascii="Times New Roman" w:hAnsi="Times New Roman" w:cs="Times New Roman"/>
          <w:b w:val="0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11</w:t>
      </w:r>
      <w:r>
        <w:rPr>
          <w:rFonts w:ascii="Times New Roman" w:hAnsi="Times New Roman" w:cs="Times New Roman"/>
          <w:b w:val="0"/>
          <w:sz w:val="28"/>
        </w:rPr>
        <w:t>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8. Медіана площі 1-кімнатної квартири у Львові:</w:t>
      </w:r>
      <w:r>
        <w:rPr>
          <w:rFonts w:ascii="Times New Roman" w:hAnsi="Times New Roman" w:cs="Times New Roman"/>
          <w:b w:val="0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43.0 м²</w:t>
      </w:r>
      <w:r>
        <w:rPr>
          <w:rFonts w:ascii="Times New Roman" w:hAnsi="Times New Roman" w:cs="Times New Roman"/>
          <w:b w:val="0"/>
          <w:sz w:val="28"/>
        </w:rPr>
        <w:t xml:space="preserve"> (за </w:t>
      </w:r>
      <w:r>
        <w:rPr>
          <w:rFonts w:ascii="Times New Roman" w:hAnsi="Times New Roman" w:cs="Times New Roman"/>
          <w:b/>
          <w:sz w:val="28"/>
        </w:rPr>
        <w:t>7</w:t>
      </w:r>
      <w:r>
        <w:rPr>
          <w:rFonts w:ascii="Times New Roman" w:hAnsi="Times New Roman" w:cs="Times New Roman"/>
          <w:b w:val="0"/>
          <w:sz w:val="28"/>
        </w:rPr>
        <w:t xml:space="preserve"> оголошень).</w:t>
      </w:r>
    </w:p>
    <w:p>
      <w:r>
        <w:br w:type="page"/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Описова статистика та аналіз flats.csv: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Джерело та склад даних:</w:t>
      </w:r>
      <w:r>
        <w:rPr>
          <w:rFonts w:ascii="Times New Roman" w:hAnsi="Times New Roman" w:cs="Times New Roman"/>
          <w:b w:val="0"/>
          <w:sz w:val="28"/>
        </w:rPr>
        <w:t xml:space="preserve"> датасет flats.csv містить 839 оголошень про нерухомість в Україні (місто, кількість кімнат, площа, ціна).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Аудит та очищення цінових аномалій.</w:t>
      </w:r>
      <w:r>
        <w:rPr>
          <w:rFonts w:ascii="Times New Roman" w:hAnsi="Times New Roman" w:cs="Times New Roman"/>
          <w:b w:val="0"/>
          <w:sz w:val="28"/>
        </w:rPr>
        <w:t xml:space="preserve"> У стовпці «Загальна_площа» виправлено кому на крапку та наукову нотацію; пропусків типу NaN не виявлено (технічно завантажено всі 839 рядків). Проте предметний аудит виявив </w:t>
      </w:r>
      <w:r>
        <w:rPr>
          <w:rFonts w:ascii="Times New Roman" w:hAnsi="Times New Roman" w:cs="Times New Roman"/>
          <w:b/>
          <w:sz w:val="28"/>
        </w:rPr>
        <w:t>64 записи</w:t>
      </w:r>
      <w:r>
        <w:rPr>
          <w:rFonts w:ascii="Times New Roman" w:hAnsi="Times New Roman" w:cs="Times New Roman"/>
          <w:b w:val="0"/>
          <w:sz w:val="28"/>
        </w:rPr>
        <w:t xml:space="preserve"> з ціною &lt; 100 000 грн (від 10 200 до 75 000 грн при площах до 222.6 м²), що є артефактами введення цін в USD або ставок місячної оренди замість вартості продажу. На графіках вони утворювали штучну лінію біля нуля, тому для статистичного аналізу ринку купівлі-продажу сформовано валідну вибірку: </w:t>
      </w:r>
      <w:r>
        <w:rPr>
          <w:rFonts w:ascii="Times New Roman" w:hAnsi="Times New Roman" w:cs="Times New Roman"/>
          <w:b/>
          <w:sz w:val="28"/>
        </w:rPr>
        <w:t>N = 775</w:t>
      </w:r>
      <w:r>
        <w:rPr>
          <w:rFonts w:ascii="Times New Roman" w:hAnsi="Times New Roman" w:cs="Times New Roman"/>
          <w:b w:val="0"/>
          <w:sz w:val="28"/>
        </w:rPr>
        <w:t>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Узгодження обсягів вибірок (N) між діаграмами.</w:t>
      </w:r>
      <w:r>
        <w:rPr>
          <w:rFonts w:ascii="Times New Roman" w:hAnsi="Times New Roman" w:cs="Times New Roman"/>
          <w:b w:val="0"/>
          <w:sz w:val="28"/>
        </w:rPr>
        <w:t xml:space="preserve"> Різні діаграми оперують специфічними вибірками відповідно до своєї аналітичної мети: на стовпчиковій діаграмі міст відображено </w:t>
      </w:r>
      <w:r>
        <w:rPr>
          <w:rFonts w:ascii="Times New Roman" w:hAnsi="Times New Roman" w:cs="Times New Roman"/>
          <w:b/>
          <w:sz w:val="28"/>
        </w:rPr>
        <w:t>820 оголошень</w:t>
      </w:r>
      <w:r>
        <w:rPr>
          <w:rFonts w:ascii="Times New Roman" w:hAnsi="Times New Roman" w:cs="Times New Roman"/>
          <w:b w:val="0"/>
          <w:sz w:val="28"/>
        </w:rPr>
        <w:t xml:space="preserve"> (вилучено 19 записів району, 839 − 19 = 820); на графіку розсіювання — </w:t>
      </w:r>
      <w:r>
        <w:rPr>
          <w:rFonts w:ascii="Times New Roman" w:hAnsi="Times New Roman" w:cs="Times New Roman"/>
          <w:b/>
          <w:sz w:val="28"/>
        </w:rPr>
        <w:t>775 валідних цін продажу</w:t>
      </w:r>
      <w:r>
        <w:rPr>
          <w:rFonts w:ascii="Times New Roman" w:hAnsi="Times New Roman" w:cs="Times New Roman"/>
          <w:b w:val="0"/>
          <w:sz w:val="28"/>
        </w:rPr>
        <w:t xml:space="preserve"> (вилучено 64 артефакти оренди/USD, 839 − 64 = 775); на boxplot — </w:t>
      </w:r>
      <w:r>
        <w:rPr>
          <w:rFonts w:ascii="Times New Roman" w:hAnsi="Times New Roman" w:cs="Times New Roman"/>
          <w:b/>
          <w:sz w:val="28"/>
        </w:rPr>
        <w:t>774 об'єкти</w:t>
      </w:r>
      <w:r>
        <w:rPr>
          <w:rFonts w:ascii="Times New Roman" w:hAnsi="Times New Roman" w:cs="Times New Roman"/>
          <w:b w:val="0"/>
          <w:sz w:val="28"/>
        </w:rPr>
        <w:t xml:space="preserve"> (квартири від 1 до 5 кімнат, окрім одного 6-кімнатного викиду); на гістограмі цін — </w:t>
      </w:r>
      <w:r>
        <w:rPr>
          <w:rFonts w:ascii="Times New Roman" w:hAnsi="Times New Roman" w:cs="Times New Roman"/>
          <w:b/>
          <w:sz w:val="28"/>
        </w:rPr>
        <w:t>767 квартир</w:t>
      </w:r>
      <w:r>
        <w:rPr>
          <w:rFonts w:ascii="Times New Roman" w:hAnsi="Times New Roman" w:cs="Times New Roman"/>
          <w:b w:val="0"/>
          <w:sz w:val="28"/>
        </w:rPr>
        <w:t xml:space="preserve"> (відсічено 8 екстремальних викидів &gt; 6.0 млн грн на рівні 99-го перцентиля, 775 − 8 = 767, для детального показу основної маси).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Статистика цін.</w:t>
      </w:r>
      <w:r>
        <w:rPr>
          <w:rFonts w:ascii="Times New Roman" w:hAnsi="Times New Roman" w:cs="Times New Roman"/>
          <w:b w:val="0"/>
          <w:sz w:val="28"/>
        </w:rPr>
        <w:t xml:space="preserve"> Для валідної вибірки продажу (N = 775) середня ціна становить </w:t>
      </w:r>
      <w:r>
        <w:rPr>
          <w:rFonts w:ascii="Times New Roman" w:hAnsi="Times New Roman" w:cs="Times New Roman"/>
          <w:b/>
          <w:sz w:val="28"/>
        </w:rPr>
        <w:t>1 126 812 грн</w:t>
      </w:r>
      <w:r>
        <w:rPr>
          <w:rFonts w:ascii="Times New Roman" w:hAnsi="Times New Roman" w:cs="Times New Roman"/>
          <w:b w:val="0"/>
          <w:sz w:val="28"/>
        </w:rPr>
        <w:t xml:space="preserve">, а медіана — </w:t>
      </w:r>
      <w:r>
        <w:rPr>
          <w:rFonts w:ascii="Times New Roman" w:hAnsi="Times New Roman" w:cs="Times New Roman"/>
          <w:b/>
          <w:sz w:val="28"/>
        </w:rPr>
        <w:t>825 000 грн</w:t>
      </w:r>
      <w:r>
        <w:rPr>
          <w:rFonts w:ascii="Times New Roman" w:hAnsi="Times New Roman" w:cs="Times New Roman"/>
          <w:b w:val="0"/>
          <w:sz w:val="28"/>
        </w:rPr>
        <w:t xml:space="preserve"> (медіана площі — </w:t>
      </w:r>
      <w:r>
        <w:rPr>
          <w:rFonts w:ascii="Times New Roman" w:hAnsi="Times New Roman" w:cs="Times New Roman"/>
          <w:b/>
          <w:sz w:val="28"/>
        </w:rPr>
        <w:t>53.53 м²</w:t>
      </w:r>
      <w:r>
        <w:rPr>
          <w:rFonts w:ascii="Times New Roman" w:hAnsi="Times New Roman" w:cs="Times New Roman"/>
          <w:b w:val="0"/>
          <w:sz w:val="28"/>
        </w:rPr>
        <w:t xml:space="preserve">). Середнє помітно вище за медіану: розподіл має виражену правосторонню асиметрію через одиничні дорогі об'єкти до </w:t>
      </w:r>
      <w:r>
        <w:rPr>
          <w:rFonts w:ascii="Times New Roman" w:hAnsi="Times New Roman" w:cs="Times New Roman"/>
          <w:b/>
          <w:sz w:val="28"/>
        </w:rPr>
        <w:t>12,25 млн грн</w:t>
      </w:r>
      <w:r>
        <w:rPr>
          <w:rFonts w:ascii="Times New Roman" w:hAnsi="Times New Roman" w:cs="Times New Roman"/>
          <w:b w:val="0"/>
          <w:sz w:val="28"/>
        </w:rPr>
        <w:t>.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1. Стовпчикова діаграма міст (Bar chart, N = 820).</w:t>
      </w:r>
      <w:r>
        <w:rPr>
          <w:rFonts w:ascii="Times New Roman" w:hAnsi="Times New Roman" w:cs="Times New Roman"/>
          <w:b w:val="0"/>
          <w:sz w:val="28"/>
        </w:rPr>
        <w:t xml:space="preserve"> Горизонтальна орієнтація забезпечує чітке читання назв усіх 12 міст; діаграма охоплює 820 оголошень (97.7% вибірки) після виключення 19 записів району «Києво-Святошинський».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Висновок аналізу (що показав графік):</w:t>
      </w:r>
      <w:r>
        <w:rPr>
          <w:rFonts w:ascii="Times New Roman" w:hAnsi="Times New Roman" w:cs="Times New Roman"/>
          <w:b w:val="0"/>
          <w:sz w:val="28"/>
        </w:rPr>
        <w:t xml:space="preserve"> Ринок у вибірці має різку географічну поляризацію та концентрацію пропозиції. Понад </w:t>
      </w:r>
      <w:r>
        <w:rPr>
          <w:rFonts w:ascii="Times New Roman" w:hAnsi="Times New Roman" w:cs="Times New Roman"/>
          <w:b/>
          <w:sz w:val="28"/>
        </w:rPr>
        <w:t>56% усіх оголошень</w:t>
      </w:r>
      <w:r>
        <w:rPr>
          <w:rFonts w:ascii="Times New Roman" w:hAnsi="Times New Roman" w:cs="Times New Roman"/>
          <w:b w:val="0"/>
          <w:sz w:val="28"/>
        </w:rPr>
        <w:t xml:space="preserve"> припадає лише на два міста: </w:t>
      </w:r>
      <w:r>
        <w:rPr>
          <w:rFonts w:ascii="Times New Roman" w:hAnsi="Times New Roman" w:cs="Times New Roman"/>
          <w:b/>
          <w:sz w:val="28"/>
        </w:rPr>
        <w:t>Вінницю (275 об'єктів, 33.5%)</w:t>
      </w:r>
      <w:r>
        <w:rPr>
          <w:rFonts w:ascii="Times New Roman" w:hAnsi="Times New Roman" w:cs="Times New Roman"/>
          <w:b w:val="0"/>
          <w:sz w:val="28"/>
        </w:rPr>
        <w:t xml:space="preserve"> та </w:t>
      </w:r>
      <w:r>
        <w:rPr>
          <w:rFonts w:ascii="Times New Roman" w:hAnsi="Times New Roman" w:cs="Times New Roman"/>
          <w:b/>
          <w:sz w:val="28"/>
        </w:rPr>
        <w:t>Київ (186 об'єктів, 22.7%)</w:t>
      </w:r>
      <w:r>
        <w:rPr>
          <w:rFonts w:ascii="Times New Roman" w:hAnsi="Times New Roman" w:cs="Times New Roman"/>
          <w:b w:val="0"/>
          <w:sz w:val="28"/>
        </w:rPr>
        <w:t>. Решта 10 обласних центрів представлені незначними частками (від 12 до 68 квартир), а найменша активність зафіксована у Тернополі (12) та Запоріжжі (25). Це свідчить про те, що первинний масив зібрано нерівномірно і він відображає переважно сегмент Вінницького та столичного ринків, що вимагає обережності при загальних узагальненнях.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2. Гістограма розподілу цін продажу (Histogram, N = 767).</w:t>
      </w:r>
      <w:r>
        <w:rPr>
          <w:rFonts w:ascii="Times New Roman" w:hAnsi="Times New Roman" w:cs="Times New Roman"/>
          <w:b w:val="0"/>
          <w:sz w:val="28"/>
        </w:rPr>
        <w:t xml:space="preserve"> Розподіл обрізано на рівні 99-го перцентиля (</w:t>
      </w:r>
      <w:r>
        <w:rPr>
          <w:rFonts w:ascii="Times New Roman" w:hAnsi="Times New Roman" w:cs="Times New Roman"/>
          <w:b/>
          <w:sz w:val="28"/>
        </w:rPr>
        <w:t>6.0 млн грн</w:t>
      </w:r>
      <w:r>
        <w:rPr>
          <w:rFonts w:ascii="Times New Roman" w:hAnsi="Times New Roman" w:cs="Times New Roman"/>
          <w:b w:val="0"/>
          <w:sz w:val="28"/>
        </w:rPr>
        <w:t xml:space="preserve">) з кроком біна </w:t>
      </w:r>
      <w:r>
        <w:rPr>
          <w:rFonts w:ascii="Times New Roman" w:hAnsi="Times New Roman" w:cs="Times New Roman"/>
          <w:b/>
          <w:sz w:val="28"/>
        </w:rPr>
        <w:t>0.25 млн грн</w:t>
      </w:r>
      <w:r>
        <w:rPr>
          <w:rFonts w:ascii="Times New Roman" w:hAnsi="Times New Roman" w:cs="Times New Roman"/>
          <w:b w:val="0"/>
          <w:sz w:val="28"/>
        </w:rPr>
        <w:t xml:space="preserve"> для наочного масштабування основної маси житла (8 викидів винесено в анотацію). На осі X позначено межі кожного інтервалу із нулем на початку координат.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Висновок аналізу (що показав графік):</w:t>
      </w:r>
      <w:r>
        <w:rPr>
          <w:rFonts w:ascii="Times New Roman" w:hAnsi="Times New Roman" w:cs="Times New Roman"/>
          <w:b w:val="0"/>
          <w:sz w:val="28"/>
        </w:rPr>
        <w:t xml:space="preserve"> Розподіл вартості житла є різко асиметричним із довгою правосторонньою концентрацією. Модальний інтервал становить </w:t>
      </w:r>
      <w:r>
        <w:rPr>
          <w:rFonts w:ascii="Times New Roman" w:hAnsi="Times New Roman" w:cs="Times New Roman"/>
          <w:b/>
          <w:sz w:val="28"/>
        </w:rPr>
        <w:t>0.50–0.75 млн грн</w:t>
      </w:r>
      <w:r>
        <w:rPr>
          <w:rFonts w:ascii="Times New Roman" w:hAnsi="Times New Roman" w:cs="Times New Roman"/>
          <w:b w:val="0"/>
          <w:sz w:val="28"/>
        </w:rPr>
        <w:t xml:space="preserve"> (пік припадає на ~750 тис. грн), що формує ядро платоспроможного попиту. Медіанна ціна (</w:t>
      </w:r>
      <w:r>
        <w:rPr>
          <w:rFonts w:ascii="Times New Roman" w:hAnsi="Times New Roman" w:cs="Times New Roman"/>
          <w:b/>
          <w:sz w:val="28"/>
        </w:rPr>
        <w:t>0.83 млн грн</w:t>
      </w:r>
      <w:r>
        <w:rPr>
          <w:rFonts w:ascii="Times New Roman" w:hAnsi="Times New Roman" w:cs="Times New Roman"/>
          <w:b w:val="0"/>
          <w:sz w:val="28"/>
        </w:rPr>
        <w:t>) відчутно менша за середнє арифметичне (</w:t>
      </w:r>
      <w:r>
        <w:rPr>
          <w:rFonts w:ascii="Times New Roman" w:hAnsi="Times New Roman" w:cs="Times New Roman"/>
          <w:b/>
          <w:sz w:val="28"/>
        </w:rPr>
        <w:t>1.13 млн грн</w:t>
      </w:r>
      <w:r>
        <w:rPr>
          <w:rFonts w:ascii="Times New Roman" w:hAnsi="Times New Roman" w:cs="Times New Roman"/>
          <w:b w:val="0"/>
          <w:sz w:val="28"/>
        </w:rPr>
        <w:t xml:space="preserve">): розрив у </w:t>
      </w:r>
      <w:r>
        <w:rPr>
          <w:rFonts w:ascii="Times New Roman" w:hAnsi="Times New Roman" w:cs="Times New Roman"/>
          <w:b/>
          <w:sz w:val="28"/>
        </w:rPr>
        <w:t>300 тис. грн (+36%)</w:t>
      </w:r>
      <w:r>
        <w:rPr>
          <w:rFonts w:ascii="Times New Roman" w:hAnsi="Times New Roman" w:cs="Times New Roman"/>
          <w:b w:val="0"/>
          <w:sz w:val="28"/>
        </w:rPr>
        <w:t xml:space="preserve"> спричинений одиничними ультрадорогими об'єктами преміум-сегмента (до 12.25 млн грн). Це наочно доводить, що для аналізу ринку нерухомості медіана є значно більш надійною та об'єктивною мірою, ніж середнє значення.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3. Scatter-діаграма площа–ціна (N = 775).</w:t>
      </w:r>
      <w:r>
        <w:rPr>
          <w:rFonts w:ascii="Times New Roman" w:hAnsi="Times New Roman" w:cs="Times New Roman"/>
          <w:b w:val="0"/>
          <w:sz w:val="28"/>
        </w:rPr>
        <w:t xml:space="preserve"> Графік побудовано для всіх 775 валідних об'єктів продажу. Використання напівпрозорих маркерів та логарифмічної шкали осі Y усунуло скучення точок біля нуля і дозволило відобразити повний діапазон цін включно з максимальним викидом у 12.25 млн грн. Нанесено експоненційний тренд.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Висновок аналізу (що показав графік):</w:t>
      </w:r>
      <w:r>
        <w:rPr>
          <w:rFonts w:ascii="Times New Roman" w:hAnsi="Times New Roman" w:cs="Times New Roman"/>
          <w:b w:val="0"/>
          <w:sz w:val="28"/>
        </w:rPr>
        <w:t xml:space="preserve"> Між площею квартири та її ціною спостерігається стійкий прямий зв'язок: зі збільшенням метражу вартість нелінійно зростає (коефіцієнт кореляції </w:t>
      </w:r>
      <w:r>
        <w:rPr>
          <w:rFonts w:ascii="Times New Roman" w:hAnsi="Times New Roman" w:cs="Times New Roman"/>
          <w:b/>
          <w:sz w:val="28"/>
        </w:rPr>
        <w:t>r = 0.69</w:t>
      </w:r>
      <w:r>
        <w:rPr>
          <w:rFonts w:ascii="Times New Roman" w:hAnsi="Times New Roman" w:cs="Times New Roman"/>
          <w:b w:val="0"/>
          <w:sz w:val="28"/>
        </w:rPr>
        <w:t xml:space="preserve">). Водночас графік розкриває колосальну цінову дисперсію для об'єктів зі схожою площею: наприклад, у діапазоні </w:t>
      </w:r>
      <w:r>
        <w:rPr>
          <w:rFonts w:ascii="Times New Roman" w:hAnsi="Times New Roman" w:cs="Times New Roman"/>
          <w:b/>
          <w:sz w:val="28"/>
        </w:rPr>
        <w:t>50–70 м²</w:t>
      </w:r>
      <w:r>
        <w:rPr>
          <w:rFonts w:ascii="Times New Roman" w:hAnsi="Times New Roman" w:cs="Times New Roman"/>
          <w:b w:val="0"/>
          <w:sz w:val="28"/>
        </w:rPr>
        <w:t xml:space="preserve"> вартість житла варіюється від </w:t>
      </w:r>
      <w:r>
        <w:rPr>
          <w:rFonts w:ascii="Times New Roman" w:hAnsi="Times New Roman" w:cs="Times New Roman"/>
          <w:b/>
          <w:sz w:val="28"/>
        </w:rPr>
        <w:t>450 тис. грн</w:t>
      </w:r>
      <w:r>
        <w:rPr>
          <w:rFonts w:ascii="Times New Roman" w:hAnsi="Times New Roman" w:cs="Times New Roman"/>
          <w:b w:val="0"/>
          <w:sz w:val="28"/>
        </w:rPr>
        <w:t xml:space="preserve"> до </w:t>
      </w:r>
      <w:r>
        <w:rPr>
          <w:rFonts w:ascii="Times New Roman" w:hAnsi="Times New Roman" w:cs="Times New Roman"/>
          <w:b/>
          <w:sz w:val="28"/>
        </w:rPr>
        <w:t>понад 3.5 млн грн</w:t>
      </w:r>
      <w:r>
        <w:rPr>
          <w:rFonts w:ascii="Times New Roman" w:hAnsi="Times New Roman" w:cs="Times New Roman"/>
          <w:b w:val="0"/>
          <w:sz w:val="28"/>
        </w:rPr>
        <w:t xml:space="preserve"> (майже у 8 разів!). Це доводить, що площа визначає лише нижній базовий поріг вартості, тоді як вирішальну роль відіграють престижність міста (Київ суттєво дорожчий за регіони), категорія новобудови, розташування та якість оздоблення.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4. Boxplot цін за кількістю кімнат (N = 774).</w:t>
      </w:r>
      <w:r>
        <w:rPr>
          <w:rFonts w:ascii="Times New Roman" w:hAnsi="Times New Roman" w:cs="Times New Roman"/>
          <w:b w:val="0"/>
          <w:sz w:val="28"/>
        </w:rPr>
        <w:t xml:space="preserve"> Досліджено розподіл цін для квартир від 1 до 5 кімнат на логарифмічній шкалі (вилучено 1 запис 6-кімнатної квартири як одиничне спостереження, n = 1).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Висновок аналізу (що показав графік):</w:t>
      </w:r>
      <w:r>
        <w:rPr>
          <w:rFonts w:ascii="Times New Roman" w:hAnsi="Times New Roman" w:cs="Times New Roman"/>
          <w:b w:val="0"/>
          <w:sz w:val="28"/>
        </w:rPr>
        <w:t xml:space="preserve"> Кількість кімнат виступає ключовим фактором ступінчастої цінової диференціації житла. Медіанна ціна монотонно зростає з кожною кімнатою: </w:t>
      </w:r>
      <w:r>
        <w:rPr>
          <w:rFonts w:ascii="Times New Roman" w:hAnsi="Times New Roman" w:cs="Times New Roman"/>
          <w:b/>
          <w:sz w:val="28"/>
        </w:rPr>
        <w:t>1-кімнатні — 0.59 млн грн</w:t>
      </w:r>
      <w:r>
        <w:rPr>
          <w:rFonts w:ascii="Times New Roman" w:hAnsi="Times New Roman" w:cs="Times New Roman"/>
          <w:b w:val="0"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>2-кімнатні — 0.84 млн грн (+42%)</w:t>
      </w:r>
      <w:r>
        <w:rPr>
          <w:rFonts w:ascii="Times New Roman" w:hAnsi="Times New Roman" w:cs="Times New Roman"/>
          <w:b w:val="0"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>3-кімнатні — 1.25 млн грн (+49%)</w:t>
      </w:r>
      <w:r>
        <w:rPr>
          <w:rFonts w:ascii="Times New Roman" w:hAnsi="Times New Roman" w:cs="Times New Roman"/>
          <w:b w:val="0"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>4-кімнатні — 1.65 млн грн (+32%)</w:t>
      </w:r>
      <w:r>
        <w:rPr>
          <w:rFonts w:ascii="Times New Roman" w:hAnsi="Times New Roman" w:cs="Times New Roman"/>
          <w:b w:val="0"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>5-кімнатні — 3.00 млн грн (+82%)</w:t>
      </w:r>
      <w:r>
        <w:rPr>
          <w:rFonts w:ascii="Times New Roman" w:hAnsi="Times New Roman" w:cs="Times New Roman"/>
          <w:b w:val="0"/>
          <w:sz w:val="28"/>
        </w:rPr>
        <w:t>. Крім того, графік демонструє різке зростання варіативності (міжквартильного розмаху IQR та довжини верхніх «вусів») зі збільшенням кімнатності: ринок 1- і 2-кімнатних квартир є відносно стандартизованим і компактним, тоді як сегменти 3–5 кімнат характеризуються високим рівнем індивідуалізації, великою часткою елітної нерухомості та статистичними викидами у верхньому ціновому діапазоні.</w:t>
      </w:r>
    </w:p>
    <w:p>
      <w:r>
        <w:br w:type="page"/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Завдання 2: </w:t>
      </w:r>
      <w:r>
        <w:rPr>
          <w:rFonts w:ascii="Times New Roman" w:hAnsi="Times New Roman" w:cs="Times New Roman"/>
          <w:b w:val="0"/>
          <w:sz w:val="28"/>
        </w:rPr>
        <w:t>Завантажити, очистити та проаналізувати датасет Penguin Species; побудувати 4 обов'язкові діаграми: графік розсіювання, кругову діаграму, гістограму/KDE та коробчату діаграму (boxplot).</w:t>
      </w:r>
    </w:p>
    <w:p>
      <w:pPr>
        <w:keepNext/>
        <w:keepLines/>
        <w:spacing w:line="276" w:lineRule="auto" w:after="0"/>
        <w:jc w:val="left"/>
      </w:pPr>
      <w:r>
        <w:rPr>
          <w:rFonts w:ascii="Times New Roman" w:hAnsi="Times New Roman" w:cs="Times New Roman"/>
          <w:b/>
          <w:sz w:val="28"/>
        </w:rPr>
        <w:t>Результати візуалізації датасету Penguin Species: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peng_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peng_pi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19518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peng_h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51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peng_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Опис датасету та очищення: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Датасет:</w:t>
      </w:r>
      <w:r>
        <w:rPr>
          <w:rFonts w:ascii="Times New Roman" w:hAnsi="Times New Roman" w:cs="Times New Roman"/>
          <w:b w:val="0"/>
          <w:sz w:val="28"/>
        </w:rPr>
        <w:t xml:space="preserve"> Penguin Species (Palmer Penguins) — п. 13 списку датасетів; містить біометричні вимірювання 3 видів пінгвінів (Adelie, Chinstrap, Gentoo) на островах Антарктики (розміри дзьоба, довжина ласт, маса тіла, стать). Джерело: </w:t>
      </w:r>
      <w:hyperlink r:id="rId17">
        <w:r>
          <w:rPr>
            <w:rFonts w:ascii="Times New Roman" w:hAnsi="Times New Roman" w:cs="Times New Roman"/>
            <w:color w:val="0563C1"/>
            <w:u w:val="single"/>
            <w:sz w:val="28"/>
          </w:rPr>
          <w:t xml:space="preserve">seaborn-data, penguins.csv</w:t>
        </w:r>
      </w:hyperlink>
      <w:r>
        <w:rPr>
          <w:rFonts w:ascii="Times New Roman" w:hAnsi="Times New Roman" w:cs="Times New Roman"/>
          <w:b w:val="0"/>
          <w:sz w:val="28"/>
        </w:rPr>
        <w:t xml:space="preserve"> (офіційний проєкт: </w:t>
      </w:r>
      <w:hyperlink r:id="rId18">
        <w:r>
          <w:rPr>
            <w:rFonts w:ascii="Times New Roman" w:hAnsi="Times New Roman" w:cs="Times New Roman"/>
            <w:color w:val="0563C1"/>
            <w:u w:val="single"/>
            <w:sz w:val="28"/>
          </w:rPr>
          <w:t xml:space="preserve">palmerpenguins</w:t>
        </w:r>
      </w:hyperlink>
      <w:r>
        <w:rPr>
          <w:rFonts w:ascii="Times New Roman" w:hAnsi="Times New Roman" w:cs="Times New Roman"/>
          <w:b w:val="0"/>
          <w:sz w:val="28"/>
        </w:rPr>
        <w:t>).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Очищення даних:</w:t>
      </w:r>
      <w:r>
        <w:rPr>
          <w:rFonts w:ascii="Times New Roman" w:hAnsi="Times New Roman" w:cs="Times New Roman"/>
          <w:b w:val="0"/>
          <w:sz w:val="28"/>
        </w:rPr>
        <w:t xml:space="preserve"> у вихідній таблиці 344 записи; 2 рядки з пропущеними значеннями у ключових числових вимірюваннях видалено. Усі 4 діаграми побудовано на єдиній узгодженій вибірці (</w:t>
      </w:r>
      <w:r>
        <w:rPr>
          <w:rFonts w:ascii="Times New Roman" w:hAnsi="Times New Roman" w:cs="Times New Roman"/>
          <w:b/>
          <w:sz w:val="28"/>
        </w:rPr>
        <w:t>строго N = 342</w:t>
      </w:r>
      <w:r>
        <w:rPr>
          <w:rFonts w:ascii="Times New Roman" w:hAnsi="Times New Roman" w:cs="Times New Roman"/>
          <w:b w:val="0"/>
          <w:sz w:val="28"/>
        </w:rPr>
        <w:t xml:space="preserve">): </w:t>
      </w:r>
      <w:r>
        <w:rPr>
          <w:rFonts w:ascii="Times New Roman" w:hAnsi="Times New Roman" w:cs="Times New Roman"/>
          <w:b/>
          <w:sz w:val="28"/>
        </w:rPr>
        <w:t>Adelie — 151</w:t>
      </w:r>
      <w:r>
        <w:rPr>
          <w:rFonts w:ascii="Times New Roman" w:hAnsi="Times New Roman" w:cs="Times New Roman"/>
          <w:b w:val="0"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>Gentoo — 123</w:t>
      </w:r>
      <w:r>
        <w:rPr>
          <w:rFonts w:ascii="Times New Roman" w:hAnsi="Times New Roman" w:cs="Times New Roman"/>
          <w:b w:val="0"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>Chinstrap — 68</w:t>
      </w:r>
      <w:r>
        <w:rPr>
          <w:rFonts w:ascii="Times New Roman" w:hAnsi="Times New Roman" w:cs="Times New Roman"/>
          <w:b w:val="0"/>
          <w:sz w:val="28"/>
        </w:rPr>
        <w:t>.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Аналіз діаграм: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1. Boxplot (довжина ласт за видами, обов'язковий, N = 342).</w:t>
      </w:r>
      <w:r>
        <w:rPr>
          <w:rFonts w:ascii="Times New Roman" w:hAnsi="Times New Roman" w:cs="Times New Roman"/>
          <w:b w:val="0"/>
          <w:sz w:val="28"/>
        </w:rPr>
        <w:t xml:space="preserve"> Досліджено довжину ласт для трьох видів пінгвінів на узгодженій вибірці (N = 342). Медіани становлять: </w:t>
      </w:r>
      <w:r>
        <w:rPr>
          <w:rFonts w:ascii="Times New Roman" w:hAnsi="Times New Roman" w:cs="Times New Roman"/>
          <w:b/>
          <w:sz w:val="28"/>
        </w:rPr>
        <w:t>Gentoo — 216.0 мм</w:t>
      </w:r>
      <w:r>
        <w:rPr>
          <w:rFonts w:ascii="Times New Roman" w:hAnsi="Times New Roman" w:cs="Times New Roman"/>
          <w:b w:val="0"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>Chinstrap — 196.0 мм</w:t>
      </w:r>
      <w:r>
        <w:rPr>
          <w:rFonts w:ascii="Times New Roman" w:hAnsi="Times New Roman" w:cs="Times New Roman"/>
          <w:b w:val="0"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>Adelie — 190.0 мм</w:t>
      </w:r>
      <w:r>
        <w:rPr>
          <w:rFonts w:ascii="Times New Roman" w:hAnsi="Times New Roman" w:cs="Times New Roman"/>
          <w:b w:val="0"/>
          <w:sz w:val="28"/>
        </w:rPr>
        <w:t xml:space="preserve">. Для виду Adelie на графіку стрілками та рамками виділено два статистичні викиди — </w:t>
      </w:r>
      <w:r>
        <w:rPr>
          <w:rFonts w:ascii="Times New Roman" w:hAnsi="Times New Roman" w:cs="Times New Roman"/>
          <w:b/>
          <w:sz w:val="28"/>
        </w:rPr>
        <w:t>172 мм</w:t>
      </w:r>
      <w:r>
        <w:rPr>
          <w:rFonts w:ascii="Times New Roman" w:hAnsi="Times New Roman" w:cs="Times New Roman"/>
          <w:b w:val="0"/>
          <w:sz w:val="28"/>
        </w:rPr>
        <w:t xml:space="preserve"> та </w:t>
      </w:r>
      <w:r>
        <w:rPr>
          <w:rFonts w:ascii="Times New Roman" w:hAnsi="Times New Roman" w:cs="Times New Roman"/>
          <w:b/>
          <w:sz w:val="28"/>
        </w:rPr>
        <w:t>210 мм</w:t>
      </w:r>
      <w:r>
        <w:rPr>
          <w:rFonts w:ascii="Times New Roman" w:hAnsi="Times New Roman" w:cs="Times New Roman"/>
          <w:b w:val="0"/>
          <w:sz w:val="28"/>
        </w:rPr>
        <w:t xml:space="preserve">, які виходять за межі </w:t>
      </w:r>
      <w:r>
        <w:rPr>
          <w:rFonts w:ascii="Times New Roman" w:hAnsi="Times New Roman" w:cs="Times New Roman"/>
          <w:b/>
          <w:sz w:val="28"/>
        </w:rPr>
        <w:t>1.5 · IQR</w:t>
      </w:r>
      <w:r>
        <w:rPr>
          <w:rFonts w:ascii="Times New Roman" w:hAnsi="Times New Roman" w:cs="Times New Roman"/>
          <w:b w:val="0"/>
          <w:sz w:val="28"/>
        </w:rPr>
        <w:t>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Висновок аналізу (що показав графік):</w:t>
      </w:r>
      <w:r>
        <w:rPr>
          <w:rFonts w:ascii="Times New Roman" w:hAnsi="Times New Roman" w:cs="Times New Roman"/>
          <w:b w:val="0"/>
          <w:sz w:val="28"/>
        </w:rPr>
        <w:t xml:space="preserve"> Довжина ласт виступає винятково сильним біометричним маркером міжвидової класифікації. Вид </w:t>
      </w:r>
      <w:r>
        <w:rPr>
          <w:rFonts w:ascii="Times New Roman" w:hAnsi="Times New Roman" w:cs="Times New Roman"/>
          <w:b/>
          <w:sz w:val="28"/>
        </w:rPr>
        <w:t>Gentoo</w:t>
      </w:r>
      <w:r>
        <w:rPr>
          <w:rFonts w:ascii="Times New Roman" w:hAnsi="Times New Roman" w:cs="Times New Roman"/>
          <w:b w:val="0"/>
          <w:sz w:val="28"/>
        </w:rPr>
        <w:t xml:space="preserve"> має кардинально довші ласти (IQR 212–221 мм) і практично без перекриття відокремлений від двох інших видів, що дозволяє безпомилково ідентифікувати особини Gentoo лише за цим виміром. Види </w:t>
      </w:r>
      <w:r>
        <w:rPr>
          <w:rFonts w:ascii="Times New Roman" w:hAnsi="Times New Roman" w:cs="Times New Roman"/>
          <w:b/>
          <w:sz w:val="28"/>
        </w:rPr>
        <w:t>Adelie</w:t>
      </w:r>
      <w:r>
        <w:rPr>
          <w:rFonts w:ascii="Times New Roman" w:hAnsi="Times New Roman" w:cs="Times New Roman"/>
          <w:b w:val="0"/>
          <w:sz w:val="28"/>
        </w:rPr>
        <w:t xml:space="preserve"> та </w:t>
      </w:r>
      <w:r>
        <w:rPr>
          <w:rFonts w:ascii="Times New Roman" w:hAnsi="Times New Roman" w:cs="Times New Roman"/>
          <w:b/>
          <w:sz w:val="28"/>
        </w:rPr>
        <w:t>Chinstrap</w:t>
      </w:r>
      <w:r>
        <w:rPr>
          <w:rFonts w:ascii="Times New Roman" w:hAnsi="Times New Roman" w:cs="Times New Roman"/>
          <w:b w:val="0"/>
          <w:sz w:val="28"/>
        </w:rPr>
        <w:t xml:space="preserve"> є морфологічно ближчими, проте Chinstrap стабільно перевершує Adelie в середньому на 6 мм.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2. Histogram/KDE (розподіл маси тіла, N = 342).</w:t>
      </w:r>
      <w:r>
        <w:rPr>
          <w:rFonts w:ascii="Times New Roman" w:hAnsi="Times New Roman" w:cs="Times New Roman"/>
          <w:b w:val="0"/>
          <w:sz w:val="28"/>
        </w:rPr>
        <w:t xml:space="preserve"> Діаграму реалізовано у вигляді трьох окремих панелей (faceted panels) зі шкалою густини (</w:t>
      </w:r>
      <w:r>
        <w:rPr>
          <w:rFonts w:ascii="Times New Roman" w:hAnsi="Times New Roman" w:cs="Times New Roman"/>
          <w:b/>
          <w:sz w:val="28"/>
        </w:rPr>
        <w:t>density</w:t>
      </w:r>
      <w:r>
        <w:rPr>
          <w:rFonts w:ascii="Times New Roman" w:hAnsi="Times New Roman" w:cs="Times New Roman"/>
          <w:b w:val="0"/>
          <w:sz w:val="28"/>
        </w:rPr>
        <w:t>) замість абсолютних кількостей, що повністю усуває оптичне накладання груп. На кожну панель нанесено вертикальні лінії медіани (помаранчевий пунктир) та середнього (фіолетова крапка).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Висновок аналізу (що показав графік):</w:t>
      </w:r>
      <w:r>
        <w:rPr>
          <w:rFonts w:ascii="Times New Roman" w:hAnsi="Times New Roman" w:cs="Times New Roman"/>
          <w:b w:val="0"/>
          <w:sz w:val="28"/>
        </w:rPr>
        <w:t xml:space="preserve"> Маса тіла демонструє чіткий бімодальний характер популяції. Види </w:t>
      </w:r>
      <w:r>
        <w:rPr>
          <w:rFonts w:ascii="Times New Roman" w:hAnsi="Times New Roman" w:cs="Times New Roman"/>
          <w:b/>
          <w:sz w:val="28"/>
        </w:rPr>
        <w:t>Adelie</w:t>
      </w:r>
      <w:r>
        <w:rPr>
          <w:rFonts w:ascii="Times New Roman" w:hAnsi="Times New Roman" w:cs="Times New Roman"/>
          <w:b w:val="0"/>
          <w:sz w:val="28"/>
        </w:rPr>
        <w:t xml:space="preserve"> (медіана </w:t>
      </w:r>
      <w:r>
        <w:rPr>
          <w:rFonts w:ascii="Times New Roman" w:hAnsi="Times New Roman" w:cs="Times New Roman"/>
          <w:b/>
          <w:sz w:val="28"/>
        </w:rPr>
        <w:t>3 700 г</w:t>
      </w:r>
      <w:r>
        <w:rPr>
          <w:rFonts w:ascii="Times New Roman" w:hAnsi="Times New Roman" w:cs="Times New Roman"/>
          <w:b w:val="0"/>
          <w:sz w:val="28"/>
        </w:rPr>
        <w:t xml:space="preserve">, середнє </w:t>
      </w:r>
      <w:r>
        <w:rPr>
          <w:rFonts w:ascii="Times New Roman" w:hAnsi="Times New Roman" w:cs="Times New Roman"/>
          <w:b/>
          <w:sz w:val="28"/>
        </w:rPr>
        <w:t>3 701 г</w:t>
      </w:r>
      <w:r>
        <w:rPr>
          <w:rFonts w:ascii="Times New Roman" w:hAnsi="Times New Roman" w:cs="Times New Roman"/>
          <w:b w:val="0"/>
          <w:sz w:val="28"/>
        </w:rPr>
        <w:t xml:space="preserve">) та </w:t>
      </w:r>
      <w:r>
        <w:rPr>
          <w:rFonts w:ascii="Times New Roman" w:hAnsi="Times New Roman" w:cs="Times New Roman"/>
          <w:b/>
          <w:sz w:val="28"/>
        </w:rPr>
        <w:t>Chinstrap</w:t>
      </w:r>
      <w:r>
        <w:rPr>
          <w:rFonts w:ascii="Times New Roman" w:hAnsi="Times New Roman" w:cs="Times New Roman"/>
          <w:b w:val="0"/>
          <w:sz w:val="28"/>
        </w:rPr>
        <w:t xml:space="preserve"> (медіана </w:t>
      </w:r>
      <w:r>
        <w:rPr>
          <w:rFonts w:ascii="Times New Roman" w:hAnsi="Times New Roman" w:cs="Times New Roman"/>
          <w:b/>
          <w:sz w:val="28"/>
        </w:rPr>
        <w:t>3 700 г</w:t>
      </w:r>
      <w:r>
        <w:rPr>
          <w:rFonts w:ascii="Times New Roman" w:hAnsi="Times New Roman" w:cs="Times New Roman"/>
          <w:b w:val="0"/>
          <w:sz w:val="28"/>
        </w:rPr>
        <w:t xml:space="preserve">, середнє </w:t>
      </w:r>
      <w:r>
        <w:rPr>
          <w:rFonts w:ascii="Times New Roman" w:hAnsi="Times New Roman" w:cs="Times New Roman"/>
          <w:b/>
          <w:sz w:val="28"/>
        </w:rPr>
        <w:t>3 733 г</w:t>
      </w:r>
      <w:r>
        <w:rPr>
          <w:rFonts w:ascii="Times New Roman" w:hAnsi="Times New Roman" w:cs="Times New Roman"/>
          <w:b w:val="0"/>
          <w:sz w:val="28"/>
        </w:rPr>
        <w:t xml:space="preserve">) формують легку вагову категорію з симетричним розподілом навколо 3.7 кг. Натомість вид </w:t>
      </w:r>
      <w:r>
        <w:rPr>
          <w:rFonts w:ascii="Times New Roman" w:hAnsi="Times New Roman" w:cs="Times New Roman"/>
          <w:b/>
          <w:sz w:val="28"/>
        </w:rPr>
        <w:t>Gentoo</w:t>
      </w:r>
      <w:r>
        <w:rPr>
          <w:rFonts w:ascii="Times New Roman" w:hAnsi="Times New Roman" w:cs="Times New Roman"/>
          <w:b w:val="0"/>
          <w:sz w:val="28"/>
        </w:rPr>
        <w:t xml:space="preserve"> утворює абсолютно окрему «важку категорію» з медіаною </w:t>
      </w:r>
      <w:r>
        <w:rPr>
          <w:rFonts w:ascii="Times New Roman" w:hAnsi="Times New Roman" w:cs="Times New Roman"/>
          <w:b/>
          <w:sz w:val="28"/>
        </w:rPr>
        <w:t>5 000 г</w:t>
      </w:r>
      <w:r>
        <w:rPr>
          <w:rFonts w:ascii="Times New Roman" w:hAnsi="Times New Roman" w:cs="Times New Roman"/>
          <w:b w:val="0"/>
          <w:sz w:val="28"/>
        </w:rPr>
        <w:t xml:space="preserve"> та середнім </w:t>
      </w:r>
      <w:r>
        <w:rPr>
          <w:rFonts w:ascii="Times New Roman" w:hAnsi="Times New Roman" w:cs="Times New Roman"/>
          <w:b/>
          <w:sz w:val="28"/>
        </w:rPr>
        <w:t>5 076 г</w:t>
      </w:r>
      <w:r>
        <w:rPr>
          <w:rFonts w:ascii="Times New Roman" w:hAnsi="Times New Roman" w:cs="Times New Roman"/>
          <w:b w:val="0"/>
          <w:sz w:val="28"/>
        </w:rPr>
        <w:t xml:space="preserve"> (діапазон 4.0–6.3 кг). Це вказує на еволюційну адаптацію Gentoo для глибоководного пірнання, що потребує значного запасу маси тіла.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3. Pie-діаграма (розподіл видів, N = 342).</w:t>
      </w:r>
      <w:r>
        <w:rPr>
          <w:rFonts w:ascii="Times New Roman" w:hAnsi="Times New Roman" w:cs="Times New Roman"/>
          <w:b w:val="0"/>
          <w:sz w:val="28"/>
        </w:rPr>
        <w:t xml:space="preserve"> Сектори впорядковано за годинниковою стрілкою від 12:00 за спаданням часток; суму відсотків строго узгоджено до 100.0% алгоритмом найбільших залишків: </w:t>
      </w:r>
      <w:r>
        <w:rPr>
          <w:rFonts w:ascii="Times New Roman" w:hAnsi="Times New Roman" w:cs="Times New Roman"/>
          <w:b/>
          <w:sz w:val="28"/>
        </w:rPr>
        <w:t>Adelie — 151 (44.1%)</w:t>
      </w:r>
      <w:r>
        <w:rPr>
          <w:rFonts w:ascii="Times New Roman" w:hAnsi="Times New Roman" w:cs="Times New Roman"/>
          <w:b w:val="0"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>Gentoo — 123 (36.0%)</w:t>
      </w:r>
      <w:r>
        <w:rPr>
          <w:rFonts w:ascii="Times New Roman" w:hAnsi="Times New Roman" w:cs="Times New Roman"/>
          <w:b w:val="0"/>
          <w:sz w:val="28"/>
        </w:rPr>
        <w:t xml:space="preserve"> та </w:t>
      </w:r>
      <w:r>
        <w:rPr>
          <w:rFonts w:ascii="Times New Roman" w:hAnsi="Times New Roman" w:cs="Times New Roman"/>
          <w:b/>
          <w:sz w:val="28"/>
        </w:rPr>
        <w:t>Chinstrap — 68 (19.9%)</w:t>
      </w:r>
      <w:r>
        <w:rPr>
          <w:rFonts w:ascii="Times New Roman" w:hAnsi="Times New Roman" w:cs="Times New Roman"/>
          <w:b w:val="0"/>
          <w:sz w:val="28"/>
        </w:rPr>
        <w:t>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Висновок аналізу (що показав графік):</w:t>
      </w:r>
      <w:r>
        <w:rPr>
          <w:rFonts w:ascii="Times New Roman" w:hAnsi="Times New Roman" w:cs="Times New Roman"/>
          <w:b w:val="0"/>
          <w:sz w:val="28"/>
        </w:rPr>
        <w:t xml:space="preserve"> Видова структура колонії є помітно незбалансованою: майже половину популяції складає вид </w:t>
      </w:r>
      <w:r>
        <w:rPr>
          <w:rFonts w:ascii="Times New Roman" w:hAnsi="Times New Roman" w:cs="Times New Roman"/>
          <w:b/>
          <w:sz w:val="28"/>
        </w:rPr>
        <w:t>Adelie (44.1%)</w:t>
      </w:r>
      <w:r>
        <w:rPr>
          <w:rFonts w:ascii="Times New Roman" w:hAnsi="Times New Roman" w:cs="Times New Roman"/>
          <w:b w:val="0"/>
          <w:sz w:val="28"/>
        </w:rPr>
        <w:t xml:space="preserve">, понад третину — </w:t>
      </w:r>
      <w:r>
        <w:rPr>
          <w:rFonts w:ascii="Times New Roman" w:hAnsi="Times New Roman" w:cs="Times New Roman"/>
          <w:b/>
          <w:sz w:val="28"/>
        </w:rPr>
        <w:t>Gentoo (36.0%)</w:t>
      </w:r>
      <w:r>
        <w:rPr>
          <w:rFonts w:ascii="Times New Roman" w:hAnsi="Times New Roman" w:cs="Times New Roman"/>
          <w:b w:val="0"/>
          <w:sz w:val="28"/>
        </w:rPr>
        <w:t xml:space="preserve">, а вид </w:t>
      </w:r>
      <w:r>
        <w:rPr>
          <w:rFonts w:ascii="Times New Roman" w:hAnsi="Times New Roman" w:cs="Times New Roman"/>
          <w:b/>
          <w:sz w:val="28"/>
        </w:rPr>
        <w:t>Chinstrap є найменш представленим (19.9%)</w:t>
      </w:r>
      <w:r>
        <w:rPr>
          <w:rFonts w:ascii="Times New Roman" w:hAnsi="Times New Roman" w:cs="Times New Roman"/>
          <w:b w:val="0"/>
          <w:sz w:val="28"/>
        </w:rPr>
        <w:t>, поступаючись Adelie більш ніж удвічі. Така диспропорція вимагає обов'язкової стратифікації при подальшому навчанні моделей класифікації, щоб запобігти зміщенню рішень у бік мажоритарного класу.</w:t>
      </w:r>
    </w:p>
    <w:p>
      <w:pPr>
        <w:keepNext/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4. Scatter-діаграма (маса тіла vs довжина ласт, N = 342).</w:t>
      </w:r>
      <w:r>
        <w:rPr>
          <w:rFonts w:ascii="Times New Roman" w:hAnsi="Times New Roman" w:cs="Times New Roman"/>
          <w:b w:val="0"/>
          <w:sz w:val="28"/>
        </w:rPr>
        <w:t xml:space="preserve"> Напівпрозорі маркери (alpha = 0.65) з індивідуальними фігурами усунули накладання точок; побудовано спільну лінію регресії та окремі прямі для кожного виду.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>Висновок аналізу (що показав графік):</w:t>
      </w:r>
      <w:r>
        <w:rPr>
          <w:rFonts w:ascii="Times New Roman" w:hAnsi="Times New Roman" w:cs="Times New Roman"/>
          <w:b w:val="0"/>
          <w:sz w:val="28"/>
        </w:rPr>
        <w:t xml:space="preserve"> Графік демонструє потужну позитивну алометричну залежність: більша маса тіла вимагає більшої площі веслувальної поверхні ласт. Загальний коефіцієнт кореляції Пірсона становить </w:t>
      </w:r>
      <w:r>
        <w:rPr>
          <w:rFonts w:ascii="Times New Roman" w:hAnsi="Times New Roman" w:cs="Times New Roman"/>
          <w:b/>
          <w:sz w:val="28"/>
        </w:rPr>
        <w:t>r = 0.871</w:t>
      </w:r>
      <w:r>
        <w:rPr>
          <w:rFonts w:ascii="Times New Roman" w:hAnsi="Times New Roman" w:cs="Times New Roman"/>
          <w:b w:val="0"/>
          <w:sz w:val="28"/>
        </w:rPr>
        <w:t>. Побудова роздільних регресій (</w:t>
      </w:r>
      <w:r>
        <w:rPr>
          <w:rFonts w:ascii="Times New Roman" w:hAnsi="Times New Roman" w:cs="Times New Roman"/>
          <w:b/>
          <w:sz w:val="28"/>
        </w:rPr>
        <w:t>Adelie: r = 0.468</w:t>
      </w:r>
      <w:r>
        <w:rPr>
          <w:rFonts w:ascii="Times New Roman" w:hAnsi="Times New Roman" w:cs="Times New Roman"/>
          <w:b w:val="0"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>Chinstrap: r = 0.642</w:t>
      </w:r>
      <w:r>
        <w:rPr>
          <w:rFonts w:ascii="Times New Roman" w:hAnsi="Times New Roman" w:cs="Times New Roman"/>
          <w:b w:val="0"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>Gentoo: r = 0.703</w:t>
      </w:r>
      <w:r>
        <w:rPr>
          <w:rFonts w:ascii="Times New Roman" w:hAnsi="Times New Roman" w:cs="Times New Roman"/>
          <w:b w:val="0"/>
          <w:sz w:val="28"/>
        </w:rPr>
        <w:t>) нівелює ризик парадоксу Сімпсона й підтверджує наявність стійкого внутрішньовидового зв'язку. Gentoo формує відокремлений кластер у верхньому правому квадранті, тоді як Adelie та Chinstrap утворюють паралельні кластери з дещо різними кутами нахилу.</w:t>
      </w:r>
    </w:p>
    <w:p>
      <w:pPr>
        <w:keepLines/>
        <w:spacing w:line="276" w:lineRule="auto" w:after="0"/>
        <w:jc w:val="both"/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>
        <w:rPr>
          <w:rFonts w:ascii="Times New Roman" w:hAnsi="Times New Roman" w:cs="Times New Roman"/>
          <w:b w:val="0"/>
          <w:sz w:val="28"/>
        </w:rPr>
        <w:t>На цій лабораторній роботі я ознайомився з основними етапами дослідження даних (EDA): завантаження, очищення «брудних» даних, описова статистика та побудова діаграм. Закріпив навички роботи з pandas, matplotlib та seaborn, зокрема побудови scatter, pie, histogram та boxplot, і навчився інтерпретувати розподіли, кореляції та викиди. Зрозумів, що правильне попереднє очищення даних є критично важливим для коректних статистичних оцінок.</w:t>
      </w:r>
    </w:p>
    <w:sectPr w:rsidR="00FC693F" w:rsidRPr="0006063C" w:rsidSect="00034616">
      <w:pgSz w:w="11906" w:h="16838"/>
      <w:pgMar w:top="850" w:right="850" w:bottom="850" w:left="85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github.com/mwaskom/seaborn-data" TargetMode="External"/><Relationship Id="rId18" Type="http://schemas.openxmlformats.org/officeDocument/2006/relationships/hyperlink" Target="https://github.com/mcnakhaee/palmerpengui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