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line="276" w:lineRule="auto" w:before="0" w:after="80"/>
        <w:jc w:val="center"/>
      </w:pPr>
      <w:r>
        <w:rPr>
          <w:rFonts w:ascii="Times New Roman" w:hAnsi="Times New Roman"/>
          <w:b w:val="0"/>
          <w:sz w:val="28"/>
        </w:rPr>
        <w:t>ЗВІТ</w:t>
      </w:r>
    </w:p>
    <w:p>
      <w:pPr>
        <w:keepNext w:val="0"/>
        <w:keepLines/>
        <w:spacing w:line="276" w:lineRule="auto" w:before="0" w:after="80"/>
        <w:jc w:val="center"/>
      </w:pPr>
      <w:r>
        <w:rPr>
          <w:rFonts w:ascii="Times New Roman" w:hAnsi="Times New Roman"/>
          <w:b w:val="0"/>
          <w:sz w:val="28"/>
        </w:rPr>
        <w:t>про виконання лабораторної роботи №6</w:t>
      </w:r>
    </w:p>
    <w:p>
      <w:pPr>
        <w:keepNext w:val="0"/>
        <w:keepLines/>
        <w:spacing w:line="276" w:lineRule="auto" w:before="0" w:after="80"/>
        <w:jc w:val="center"/>
      </w:pPr>
      <w:r>
        <w:rPr>
          <w:rFonts w:ascii="Times New Roman" w:hAnsi="Times New Roman"/>
          <w:b w:val="0"/>
          <w:sz w:val="28"/>
        </w:rPr>
        <w:t>«Використання самоорганізуючихся карт Кохонена (SOM)»</w:t>
      </w:r>
    </w:p>
    <w:p>
      <w:pPr>
        <w:keepNext w:val="0"/>
        <w:keepLines/>
        <w:spacing w:line="276" w:lineRule="auto" w:before="0" w:after="80"/>
        <w:jc w:val="center"/>
      </w:pPr>
      <w:r>
        <w:rPr>
          <w:rFonts w:ascii="Times New Roman" w:hAnsi="Times New Roman"/>
          <w:b w:val="0"/>
          <w:sz w:val="28"/>
        </w:rPr>
        <w:t>з дисципліни</w:t>
      </w:r>
    </w:p>
    <w:p>
      <w:pPr>
        <w:keepNext w:val="0"/>
        <w:keepLines/>
        <w:spacing w:line="276" w:lineRule="auto" w:before="0" w:after="80"/>
        <w:jc w:val="center"/>
      </w:pPr>
      <w:r>
        <w:rPr>
          <w:rFonts w:ascii="Times New Roman" w:hAnsi="Times New Roman"/>
          <w:b w:val="0"/>
          <w:sz w:val="28"/>
        </w:rPr>
        <w:t>«Інтелектуальний аналіз даних»</w:t>
      </w:r>
    </w:p>
    <w:p>
      <w:pPr>
        <w:keepNext w:val="0"/>
        <w:keepLines/>
        <w:spacing w:line="276" w:lineRule="auto" w:before="0" w:after="80"/>
        <w:jc w:val="center"/>
      </w:pPr>
      <w:r>
        <w:rPr>
          <w:rFonts w:ascii="Times New Roman" w:hAnsi="Times New Roman"/>
          <w:b w:val="0"/>
          <w:sz w:val="28"/>
        </w:rPr>
        <w:t>Студента групи КН-2327Б</w:t>
      </w:r>
    </w:p>
    <w:p>
      <w:pPr>
        <w:keepNext w:val="0"/>
        <w:keepLines/>
        <w:spacing w:line="276" w:lineRule="auto" w:before="0" w:after="80"/>
        <w:jc w:val="center"/>
      </w:pPr>
      <w:r>
        <w:rPr>
          <w:rFonts w:ascii="Times New Roman" w:hAnsi="Times New Roman"/>
          <w:b/>
          <w:sz w:val="28"/>
        </w:rPr>
        <w:t>Багрія-Белза Андрія</w:t>
      </w:r>
    </w:p>
    <w:p>
      <w:pPr>
        <w:keepNext/>
        <w:keepLines/>
        <w:spacing w:line="276" w:lineRule="auto" w:before="0" w:after="80"/>
        <w:jc w:val="both"/>
      </w:pPr>
      <w:r>
        <w:rPr>
          <w:rFonts w:ascii="Times New Roman" w:hAnsi="Times New Roman"/>
          <w:b/>
          <w:sz w:val="28"/>
        </w:rPr>
        <w:t xml:space="preserve">Мета роботи: </w:t>
      </w:r>
      <w:r>
        <w:rPr>
          <w:rFonts w:ascii="Times New Roman" w:hAnsi="Times New Roman"/>
          <w:b w:val="0"/>
          <w:sz w:val="28"/>
        </w:rPr>
        <w:t>Дослідити архітектуру та практичне застосування самоорганізуючихся карт Кохонена (Self-Organizing Maps, SOM) для розв'язання задач неконтрольованого аналізу даних: топологічної кластеризації, проєкції багатовимірного простору ознак на двовимірну решітку нейронів, аналізу щільності розподілу та виявлення нелінійних взаємозв'язків між факторами.</w:t>
      </w:r>
    </w:p>
    <w:p>
      <w:pPr>
        <w:keepNext/>
        <w:keepLines/>
        <w:spacing w:line="276" w:lineRule="auto" w:before="0" w:after="80"/>
        <w:jc w:val="both"/>
      </w:pPr>
      <w:r>
        <w:rPr>
          <w:rFonts w:ascii="Times New Roman" w:hAnsi="Times New Roman"/>
          <w:b/>
          <w:sz w:val="28"/>
        </w:rPr>
        <w:t xml:space="preserve">Завдання 1: </w:t>
      </w:r>
      <w:r>
        <w:rPr>
          <w:rFonts w:ascii="Times New Roman" w:hAnsi="Times New Roman"/>
          <w:b w:val="0"/>
          <w:sz w:val="28"/>
        </w:rPr>
        <w:t>Побудова та навчання мережі SOM, динаміка збіжності</w:t>
      </w:r>
    </w:p>
    <w:p>
      <w:pPr>
        <w:keepNext/>
        <w:keepLines/>
        <w:spacing w:line="276" w:lineRule="auto" w:before="0" w:after="80"/>
        <w:jc w:val="both"/>
      </w:pPr>
      <w:r>
        <w:rPr>
          <w:rFonts w:ascii="Times New Roman" w:hAnsi="Times New Roman"/>
          <w:b w:val="0"/>
          <w:sz w:val="28"/>
        </w:rPr>
        <w:t xml:space="preserve">Для дослідження використано набір даних Boston Housing (506 спостережень, 7 числових показників: INDUS, DIS, NOX, LSTAT, AGE, RAD, B), попередньо стандартизованих за допомогою StandardScaler. Ініціалізовано двовимірну решітку нейронів розміром </w:t>
      </w:r>
      <w:r>
        <w:rPr>
          <w:rFonts w:ascii="Times New Roman" w:hAnsi="Times New Roman"/>
          <w:b/>
          <w:sz w:val="28"/>
        </w:rPr>
        <w:t>9 x 6</w:t>
      </w:r>
      <w:r>
        <w:rPr>
          <w:rFonts w:ascii="Times New Roman" w:hAnsi="Times New Roman"/>
          <w:b w:val="0"/>
          <w:sz w:val="28"/>
        </w:rPr>
        <w:t xml:space="preserve"> (54 нейрони) з параметрами sigma=1.0, learning_rate=0.5. Модель навчено протягом 100 ітерацій пакетного навчання (batch training). Динаміка похибки квантування (Quantization Error) демонструє стійке монотонне збігання з 1.8212 до </w:t>
      </w:r>
      <w:r>
        <w:rPr>
          <w:rFonts w:ascii="Times New Roman" w:hAnsi="Times New Roman"/>
          <w:b/>
          <w:sz w:val="28"/>
        </w:rPr>
        <w:t>1.7809</w:t>
      </w:r>
      <w:r>
        <w:rPr>
          <w:rFonts w:ascii="Times New Roman" w:hAnsi="Times New Roman"/>
          <w:b w:val="0"/>
          <w:sz w:val="28"/>
        </w:rPr>
        <w:t xml:space="preserve"> при збереженні топологічної структури простору.</w:t>
      </w:r>
    </w:p>
    <w:p>
      <w:pPr>
        <w:keepLines/>
        <w:spacing w:before="80" w:after="120"/>
        <w:jc w:val="center"/>
      </w:pPr>
      <w:r>
        <w:drawing>
          <wp:inline xmlns:a="http://schemas.openxmlformats.org/drawingml/2006/main" xmlns:pic="http://schemas.openxmlformats.org/drawingml/2006/picture">
            <wp:extent cx="5220000" cy="2900000"/>
            <wp:docPr id="1" name="Picture 1"/>
            <wp:cNvGraphicFramePr>
              <a:graphicFrameLocks noChangeAspect="1"/>
            </wp:cNvGraphicFramePr>
            <a:graphic>
              <a:graphicData uri="http://schemas.openxmlformats.org/drawingml/2006/picture">
                <pic:pic>
                  <pic:nvPicPr>
                    <pic:cNvPr id="0" name="som_training_loss.png"/>
                    <pic:cNvPicPr/>
                  </pic:nvPicPr>
                  <pic:blipFill>
                    <a:blip r:embed="rId9"/>
                    <a:stretch>
                      <a:fillRect/>
                    </a:stretch>
                  </pic:blipFill>
                  <pic:spPr>
                    <a:xfrm>
                      <a:off x="0" y="0"/>
                      <a:ext cx="5220000" cy="2900000"/>
                    </a:xfrm>
                    <a:prstGeom prst="rect"/>
                  </pic:spPr>
                </pic:pic>
              </a:graphicData>
            </a:graphic>
          </wp:inline>
        </w:drawing>
      </w:r>
    </w:p>
    <w:p>
      <w:pPr>
        <w:keepNext/>
        <w:keepLines/>
        <w:spacing w:line="276" w:lineRule="auto" w:before="0" w:after="80"/>
        <w:jc w:val="both"/>
      </w:pPr>
      <w:r>
        <w:rPr>
          <w:rFonts w:ascii="Times New Roman" w:hAnsi="Times New Roman"/>
          <w:b/>
          <w:sz w:val="28"/>
        </w:rPr>
        <w:t xml:space="preserve">Завдання 2: </w:t>
      </w:r>
      <w:r>
        <w:rPr>
          <w:rFonts w:ascii="Times New Roman" w:hAnsi="Times New Roman"/>
          <w:b w:val="0"/>
          <w:sz w:val="28"/>
        </w:rPr>
        <w:t>Візуалізація карти відстаней (U-Matrix) та частоти активацій</w:t>
      </w:r>
    </w:p>
    <w:p>
      <w:pPr>
        <w:keepNext/>
        <w:keepLines/>
        <w:spacing w:line="276" w:lineRule="auto" w:before="0" w:after="80"/>
        <w:jc w:val="both"/>
      </w:pPr>
      <w:r>
        <w:rPr>
          <w:rFonts w:ascii="Times New Roman" w:hAnsi="Times New Roman"/>
          <w:b w:val="0"/>
          <w:sz w:val="28"/>
        </w:rPr>
        <w:t>Побудовано U-Matrix (Unified Distance Matrix), що візуалізує евклідові відстані між ваговими векторами сусідніх нейронів у латентному просторі. Світлі ділянки з малими міжнейронними відстанями відповідають ядрам високої щільності та кластерній однорідності об'єктів, тоді як темні контрастні смуги виступають топологічними бар'єрами (межами) між різними типами житлових районів міста.</w:t>
      </w:r>
    </w:p>
    <w:p>
      <w:pPr>
        <w:keepNext/>
        <w:keepLines/>
        <w:spacing w:line="276" w:lineRule="auto" w:before="0" w:after="80"/>
        <w:jc w:val="both"/>
      </w:pPr>
      <w:r>
        <w:rPr>
          <w:rFonts w:ascii="Times New Roman" w:hAnsi="Times New Roman"/>
          <w:b w:val="0"/>
          <w:sz w:val="28"/>
        </w:rPr>
        <w:t>Матриця активацій нейронів (Activation Frequency / Counts) відображає кількість спостережень, для яких кожен нейрон став найкращим переможцем (BMU). Розподіл частот підтверджує рівномірне покриття навчальної вибірки решіткою: спостерігаються виражені вузли фокусування спостережень (до 23 об'єктів на нейрон) та відсутність надмірних «мертвих» зон, що свідчить про якісну адаптацію топологічної сітки.</w:t>
      </w:r>
    </w:p>
    <w:p>
      <w:pPr>
        <w:keepLines/>
        <w:spacing w:before="80" w:after="120"/>
        <w:jc w:val="center"/>
      </w:pPr>
      <w:r>
        <w:drawing>
          <wp:inline xmlns:a="http://schemas.openxmlformats.org/drawingml/2006/main" xmlns:pic="http://schemas.openxmlformats.org/drawingml/2006/picture">
            <wp:extent cx="5220000" cy="3480000"/>
            <wp:docPr id="2" name="Picture 2"/>
            <wp:cNvGraphicFramePr>
              <a:graphicFrameLocks noChangeAspect="1"/>
            </wp:cNvGraphicFramePr>
            <a:graphic>
              <a:graphicData uri="http://schemas.openxmlformats.org/drawingml/2006/picture">
                <pic:pic>
                  <pic:nvPicPr>
                    <pic:cNvPr id="0" name="som_umatrix.png"/>
                    <pic:cNvPicPr/>
                  </pic:nvPicPr>
                  <pic:blipFill>
                    <a:blip r:embed="rId10"/>
                    <a:stretch>
                      <a:fillRect/>
                    </a:stretch>
                  </pic:blipFill>
                  <pic:spPr>
                    <a:xfrm>
                      <a:off x="0" y="0"/>
                      <a:ext cx="5220000" cy="3480000"/>
                    </a:xfrm>
                    <a:prstGeom prst="rect"/>
                  </pic:spPr>
                </pic:pic>
              </a:graphicData>
            </a:graphic>
          </wp:inline>
        </w:drawing>
      </w:r>
    </w:p>
    <w:p>
      <w:pPr>
        <w:keepLines/>
        <w:spacing w:before="80" w:after="120"/>
        <w:jc w:val="center"/>
      </w:pPr>
      <w:r>
        <w:drawing>
          <wp:inline xmlns:a="http://schemas.openxmlformats.org/drawingml/2006/main" xmlns:pic="http://schemas.openxmlformats.org/drawingml/2006/picture">
            <wp:extent cx="5220000" cy="3480000"/>
            <wp:docPr id="3" name="Picture 3"/>
            <wp:cNvGraphicFramePr>
              <a:graphicFrameLocks noChangeAspect="1"/>
            </wp:cNvGraphicFramePr>
            <a:graphic>
              <a:graphicData uri="http://schemas.openxmlformats.org/drawingml/2006/picture">
                <pic:pic>
                  <pic:nvPicPr>
                    <pic:cNvPr id="0" name="som_counts.png"/>
                    <pic:cNvPicPr/>
                  </pic:nvPicPr>
                  <pic:blipFill>
                    <a:blip r:embed="rId11"/>
                    <a:stretch>
                      <a:fillRect/>
                    </a:stretch>
                  </pic:blipFill>
                  <pic:spPr>
                    <a:xfrm>
                      <a:off x="0" y="0"/>
                      <a:ext cx="5220000" cy="3480000"/>
                    </a:xfrm>
                    <a:prstGeom prst="rect"/>
                  </pic:spPr>
                </pic:pic>
              </a:graphicData>
            </a:graphic>
          </wp:inline>
        </w:drawing>
      </w:r>
    </w:p>
    <w:p>
      <w:pPr>
        <w:keepNext/>
        <w:keepLines/>
        <w:spacing w:line="276" w:lineRule="auto" w:before="0" w:after="80"/>
        <w:jc w:val="both"/>
      </w:pPr>
      <w:r>
        <w:rPr>
          <w:rFonts w:ascii="Times New Roman" w:hAnsi="Times New Roman"/>
          <w:b/>
          <w:sz w:val="28"/>
        </w:rPr>
        <w:t xml:space="preserve">Завдання 3: </w:t>
      </w:r>
      <w:r>
        <w:rPr>
          <w:rFonts w:ascii="Times New Roman" w:hAnsi="Times New Roman"/>
          <w:b w:val="0"/>
          <w:sz w:val="28"/>
        </w:rPr>
        <w:t>Проєкція об'єктів (BMU) та компонентні карти</w:t>
      </w:r>
    </w:p>
    <w:p>
      <w:pPr>
        <w:keepNext/>
        <w:keepLines/>
        <w:spacing w:line="276" w:lineRule="auto" w:before="0" w:after="80"/>
        <w:jc w:val="both"/>
      </w:pPr>
      <w:r>
        <w:rPr>
          <w:rFonts w:ascii="Times New Roman" w:hAnsi="Times New Roman"/>
          <w:b w:val="0"/>
          <w:sz w:val="28"/>
        </w:rPr>
        <w:t xml:space="preserve">Показано проєкцію всіх 506 спостережень на карту Кохонена поверх U-Matrix із колірним кодуванням за показником </w:t>
      </w:r>
      <w:r>
        <w:rPr>
          <w:rFonts w:ascii="Times New Roman" w:hAnsi="Times New Roman"/>
          <w:b/>
          <w:sz w:val="28"/>
        </w:rPr>
        <w:t>LSTAT</w:t>
      </w:r>
      <w:r>
        <w:rPr>
          <w:rFonts w:ascii="Times New Roman" w:hAnsi="Times New Roman"/>
          <w:b w:val="0"/>
          <w:sz w:val="28"/>
        </w:rPr>
        <w:t xml:space="preserve"> (% населення з низьким соціально-економічним статусом). Спостерігається чітке просторове розшарування: об'єкти з високим LSTAT зосереджені у верхньому та лівому секторах решітки, тоді як престижні райони з низьким рівнем LSTAT локалізуються в протилежній частині карти, розділяючись природними бар'єрами U-Matrix.</w:t>
      </w:r>
    </w:p>
    <w:p>
      <w:pPr>
        <w:keepNext/>
        <w:keepLines/>
        <w:spacing w:line="276" w:lineRule="auto" w:before="0" w:after="80"/>
        <w:jc w:val="both"/>
      </w:pPr>
      <w:r>
        <w:rPr>
          <w:rFonts w:ascii="Times New Roman" w:hAnsi="Times New Roman"/>
          <w:b w:val="0"/>
          <w:sz w:val="28"/>
        </w:rPr>
        <w:t>Аналіз компонентних площин (Component Planes) дозволяє зіставити просторові патерни ваг нейронів за окремими змінними. Виявлено виражену синхронну поведінку (сильну пряму кореляцію) факторів NOX (забруднення оксидами азоту), INDUS (частка промислових зон), AGE (вік забудови) та LSTAT — їхні максимуми припадають на верхні та ліві нейрони. Натомість показник DIS (відстань до центрів зайнятості) демонструє дзеркальний розподіл значень, що підтверджує нелінійну обернену залежність між урбанізацією, екологічним станом та віддаленістю від центру.</w:t>
      </w:r>
    </w:p>
    <w:p>
      <w:pPr>
        <w:keepLines/>
        <w:spacing w:before="80" w:after="120"/>
        <w:jc w:val="center"/>
      </w:pPr>
      <w:r>
        <w:drawing>
          <wp:inline xmlns:a="http://schemas.openxmlformats.org/drawingml/2006/main" xmlns:pic="http://schemas.openxmlformats.org/drawingml/2006/picture">
            <wp:extent cx="5220000" cy="3393000"/>
            <wp:docPr id="4" name="Picture 4"/>
            <wp:cNvGraphicFramePr>
              <a:graphicFrameLocks noChangeAspect="1"/>
            </wp:cNvGraphicFramePr>
            <a:graphic>
              <a:graphicData uri="http://schemas.openxmlformats.org/drawingml/2006/picture">
                <pic:pic>
                  <pic:nvPicPr>
                    <pic:cNvPr id="0" name="som_bmu_mapping.png"/>
                    <pic:cNvPicPr/>
                  </pic:nvPicPr>
                  <pic:blipFill>
                    <a:blip r:embed="rId12"/>
                    <a:stretch>
                      <a:fillRect/>
                    </a:stretch>
                  </pic:blipFill>
                  <pic:spPr>
                    <a:xfrm>
                      <a:off x="0" y="0"/>
                      <a:ext cx="5220000" cy="3393000"/>
                    </a:xfrm>
                    <a:prstGeom prst="rect"/>
                  </pic:spPr>
                </pic:pic>
              </a:graphicData>
            </a:graphic>
          </wp:inline>
        </w:drawing>
      </w:r>
    </w:p>
    <w:p>
      <w:pPr>
        <w:keepLines/>
        <w:spacing w:before="80" w:after="120"/>
        <w:jc w:val="center"/>
      </w:pPr>
      <w:r>
        <w:drawing>
          <wp:inline xmlns:a="http://schemas.openxmlformats.org/drawingml/2006/main" xmlns:pic="http://schemas.openxmlformats.org/drawingml/2006/picture">
            <wp:extent cx="5220000" cy="2610000"/>
            <wp:docPr id="5" name="Picture 5"/>
            <wp:cNvGraphicFramePr>
              <a:graphicFrameLocks noChangeAspect="1"/>
            </wp:cNvGraphicFramePr>
            <a:graphic>
              <a:graphicData uri="http://schemas.openxmlformats.org/drawingml/2006/picture">
                <pic:pic>
                  <pic:nvPicPr>
                    <pic:cNvPr id="0" name="som_component_planes.png"/>
                    <pic:cNvPicPr/>
                  </pic:nvPicPr>
                  <pic:blipFill>
                    <a:blip r:embed="rId13"/>
                    <a:stretch>
                      <a:fillRect/>
                    </a:stretch>
                  </pic:blipFill>
                  <pic:spPr>
                    <a:xfrm>
                      <a:off x="0" y="0"/>
                      <a:ext cx="5220000" cy="2610000"/>
                    </a:xfrm>
                    <a:prstGeom prst="rect"/>
                  </pic:spPr>
                </pic:pic>
              </a:graphicData>
            </a:graphic>
          </wp:inline>
        </w:drawing>
      </w:r>
    </w:p>
    <w:p>
      <w:pPr>
        <w:keepNext w:val="0"/>
        <w:keepLines/>
        <w:spacing w:line="276" w:lineRule="auto" w:before="0" w:after="80"/>
        <w:jc w:val="both"/>
      </w:pPr>
      <w:r>
        <w:rPr>
          <w:rFonts w:ascii="Times New Roman" w:hAnsi="Times New Roman"/>
          <w:b/>
          <w:sz w:val="28"/>
        </w:rPr>
        <w:t xml:space="preserve">Висновок: </w:t>
      </w:r>
      <w:r>
        <w:rPr>
          <w:rFonts w:ascii="Times New Roman" w:hAnsi="Times New Roman"/>
          <w:b w:val="0"/>
          <w:sz w:val="28"/>
        </w:rPr>
        <w:t>На цій лабораторній роботі я опанував метод самоорганізуючихся карт Кохонена (SOM) для розвідувального аналізу даних у Python. Успішно навчив нейромережу розмірністю 9 x 6 на стандартизованих ознаках вибірки Boston Housing, зафіксувавши зниження похибки квантування до 1.7809. Завдяки спільній візуалізації U-Matrix, матриці активацій та компонентних площин я виявив топологічні кластери спостережень і наочно підтвердив наявність взаємозв'язків між промисловим забрудненням, соціальним статусом та просторовою віддаленістю житлових масивів.</w:t>
      </w:r>
    </w:p>
    <w:sectPr w:rsidR="00FC693F" w:rsidRPr="0006063C" w:rsidSect="00034616">
      <w:pgSz w:w="11906" w:h="16838"/>
      <w:pgMar w:top="850" w:right="850" w:bottom="850" w:left="85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