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76" w:lineRule="auto" w:before="0" w:after="8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ЗВІТ</w:t>
      </w:r>
    </w:p>
    <w:p>
      <w:pPr>
        <w:keepLines/>
        <w:spacing w:line="276" w:lineRule="auto" w:before="0" w:after="8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про виконання лабораторної роботи №7</w:t>
      </w:r>
    </w:p>
    <w:p>
      <w:pPr>
        <w:keepLines/>
        <w:spacing w:line="276" w:lineRule="auto" w:before="0" w:after="80"/>
        <w:jc w:val="center"/>
      </w:pPr>
      <w:r>
        <w:rPr>
          <w:rFonts w:ascii="Times New Roman" w:hAnsi="Times New Roman" w:cs="Times New Roman"/>
          <w:b/>
          <w:i w:val="0"/>
          <w:sz w:val="28"/>
        </w:rPr>
        <w:t>«Прогнозування з використанням часових рядів»</w:t>
      </w:r>
    </w:p>
    <w:p>
      <w:pPr>
        <w:keepLines/>
        <w:spacing w:line="276" w:lineRule="auto" w:before="0" w:after="8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з дисципліни</w:t>
      </w:r>
    </w:p>
    <w:p>
      <w:pPr>
        <w:keepLines/>
        <w:spacing w:line="276" w:lineRule="auto" w:before="0" w:after="8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«Інтелектуальний аналіз даних»</w:t>
      </w:r>
    </w:p>
    <w:p>
      <w:pPr>
        <w:keepLines/>
        <w:spacing w:line="276" w:lineRule="auto" w:before="0" w:after="80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Студента групи КН-2327Б</w:t>
      </w:r>
    </w:p>
    <w:p>
      <w:pPr>
        <w:keepLines/>
        <w:spacing w:line="276" w:lineRule="auto" w:before="0" w:after="80"/>
        <w:jc w:val="center"/>
      </w:pPr>
      <w:r>
        <w:rPr>
          <w:rFonts w:ascii="Times New Roman" w:hAnsi="Times New Roman" w:cs="Times New Roman"/>
          <w:b/>
          <w:i w:val="0"/>
          <w:sz w:val="28"/>
        </w:rPr>
        <w:t>Багрія-Белза Андрія</w:t>
      </w:r>
    </w:p>
    <w:p>
      <w:pPr>
        <w:spacing w:line="276" w:lineRule="auto" w:before="120" w:after="120"/>
        <w:jc w:val="both"/>
      </w:pPr>
      <w:r>
        <w:rPr>
          <w:rFonts w:ascii="Times New Roman" w:hAnsi="Times New Roman" w:cs="Times New Roman"/>
          <w:b/>
          <w:i w:val="0"/>
          <w:sz w:val="28"/>
        </w:rPr>
        <w:t>Мета роботи:</w:t>
      </w:r>
      <w:r>
        <w:rPr>
          <w:rFonts w:ascii="Times New Roman" w:hAnsi="Times New Roman" w:cs="Times New Roman"/>
          <w:b w:val="0"/>
          <w:i w:val="0"/>
          <w:sz w:val="28"/>
        </w:rPr>
        <w:t xml:space="preserve"> Дослідити структуру часових рядів, опанувати методи згладжування простим ковзним середнім (SMA) та адитивної сезонної декомпозиції, реалізувати хронологічний розподіл вибірки та порівняти точність базового наївного прогнозу (NaiveForecaster) і моделі експоненційного згладжування Гольта-Вінтерса (ExponentialSmoothing) за показниками MAE, RMSE та MAPE.</w:t>
      </w:r>
    </w:p>
    <w:p>
      <w:pPr>
        <w:spacing w:line="276" w:lineRule="auto" w:before="120" w:after="80"/>
        <w:jc w:val="both"/>
      </w:pPr>
      <w:r>
        <w:rPr>
          <w:rFonts w:ascii="Times New Roman" w:hAnsi="Times New Roman" w:cs="Times New Roman"/>
          <w:b/>
          <w:i w:val="0"/>
          <w:sz w:val="28"/>
        </w:rPr>
        <w:t>Завдання 1 (Згладжування та декомпозиція часових рядів).</w:t>
      </w:r>
      <w:r>
        <w:rPr>
          <w:rFonts w:ascii="Times New Roman" w:hAnsi="Times New Roman" w:cs="Times New Roman"/>
          <w:b w:val="0"/>
          <w:i w:val="0"/>
          <w:sz w:val="28"/>
        </w:rPr>
        <w:t xml:space="preserve"> Виконано згладжування хронологічного ряду тривалості життя 42 монархів Англії (kings.txt) за допомогою простого ковзного середнього (Simple Moving Average, n=9) із центрованим вікном. Фактичні значення мають значний розмах (від 13 до 86 років). Застосування центрованого ковзного вікна ефективно фільтрує випадкові високочастотні стрибки та чітко візуалізує стабільний висхідний тренд тривалості життя королів у пізніші історичні періоди.</w:t>
      </w:r>
    </w:p>
    <w:p>
      <w:pPr>
        <w:keepLines/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gs_s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80" w:after="8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Здійснено класичну адитивну декомпозицію часового ряду народжуваності (babyboom.txt, 168 спостережень) із періодом s=12 на 4 складові: спостережуваний ряд (Observed), тренд (Trend), сезонність (Seasonal) та випадковий шум (Residual). Графік підтверджує наявність плавної нелінійної трендової траєкторії, строгої повторюваної річної сезонності з амплітудою коливань від -2.08 до +1.46 од., а також гомоскедастичних залишкових похибок, близьких до білого шуму.</w:t>
      </w:r>
    </w:p>
    <w:p>
      <w:pPr>
        <w:keepLines/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byboom_decom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80"/>
        <w:jc w:val="both"/>
      </w:pPr>
      <w:r>
        <w:rPr>
          <w:rFonts w:ascii="Times New Roman" w:hAnsi="Times New Roman" w:cs="Times New Roman"/>
          <w:b/>
          <w:i w:val="0"/>
          <w:sz w:val="28"/>
        </w:rPr>
        <w:t>Завдання 2 (Прогнозування часових рядів).</w:t>
      </w:r>
      <w:r>
        <w:rPr>
          <w:rFonts w:ascii="Times New Roman" w:hAnsi="Times New Roman" w:cs="Times New Roman"/>
          <w:b w:val="0"/>
          <w:i w:val="0"/>
          <w:sz w:val="28"/>
        </w:rPr>
        <w:t xml:space="preserve"> Виконано завантаження щомісячного ряду міжнародних авіаперевезень Airline Passengers (144 місяці, 1949–1960 рр.) та здійснено хронологічний розподіл на тренувальну (Train, 108 перших місяців) і тестову (Test, 36 останніх місяців) вибірки за допомогою temporal_train_test_split. Такий підхід унеможливлює витік даних з майбутнього та забезпечує об'єктивну оцінку екстраполяційних можливостей прогнозних алгоритмів.</w:t>
      </w:r>
    </w:p>
    <w:p>
      <w:pPr>
        <w:keepLines/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it_se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80" w:after="8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Згенеровано прогноз на горизонт fh=36 місяців за двома моделями: базовою NaiveForecaster (стратегія 'last') та адаптивною моделлю експоненційного згладжування Гольта-Вінтерса (адитивний тренд і адитивна сезонність s=12). Суміщений графік демонструє, що наївна модель фіксує лише константу останньої точки (y=336), ігноруючи ріст і сезонність, тоді як модель Гольта-Вінтерса точно повторює фази літніх максимумів і загальний висхідний нахил тренду.</w:t>
      </w:r>
    </w:p>
    <w:p>
      <w:pPr>
        <w:keepLines/>
        <w:spacing w:line="240" w:lineRule="auto"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80" w:after="8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кількісного зіставлення якості прогнозних підходів на тестовій вибірці (36 місяців) розраховано метрики MAE, RMSE та MAPE. Результати зведено у таблицю 1.</w:t>
      </w:r>
    </w:p>
    <w:p>
      <w:pPr>
        <w:spacing w:before="80" w:after="40"/>
        <w:jc w:val="left"/>
      </w:pPr>
      <w:r>
        <w:rPr>
          <w:rFonts w:ascii="Times New Roman" w:hAnsi="Times New Roman" w:cs="Times New Roman"/>
          <w:b/>
          <w:i w:val="0"/>
          <w:sz w:val="28"/>
        </w:rPr>
        <w:t>Таблиця 1.</w:t>
      </w:r>
      <w:r>
        <w:rPr>
          <w:rFonts w:ascii="Times New Roman" w:hAnsi="Times New Roman" w:cs="Times New Roman"/>
          <w:b w:val="0"/>
          <w:i w:val="0"/>
          <w:sz w:val="28"/>
        </w:rPr>
        <w:t xml:space="preserve"> Порівняння метрик точності прогнозних моделей (горизонт fh = 36 місяців)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none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4082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EAECEE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Модель прогнозування</w:t>
            </w:r>
          </w:p>
        </w:tc>
        <w:tc>
          <w:tcPr>
            <w:tcW w:type="dxa" w:w="136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EAECEE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MAE</w:t>
            </w:r>
          </w:p>
        </w:tc>
        <w:tc>
          <w:tcPr>
            <w:tcW w:type="dxa" w:w="1361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EAECEE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RMSE</w:t>
            </w:r>
          </w:p>
        </w:tc>
        <w:tc>
          <w:tcPr>
            <w:tcW w:type="dxa" w:w="147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EAECEE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MAPE (%)</w:t>
            </w:r>
          </w:p>
        </w:tc>
      </w:tr>
      <w:tr>
        <w:tc>
          <w:tcPr>
            <w:tcW w:type="dxa" w:w="408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Базова наївна модель (NaiveForecaster 'last')</w:t>
            </w:r>
          </w:p>
        </w:tc>
        <w:tc>
          <w:tcPr>
            <w:tcW w:type="dxa" w:w="136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94.944</w:t>
            </w:r>
          </w:p>
        </w:tc>
        <w:tc>
          <w:tcPr>
            <w:tcW w:type="dxa" w:w="136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121.139</w:t>
            </w:r>
          </w:p>
        </w:tc>
        <w:tc>
          <w:tcPr>
            <w:tcW w:type="dxa" w:w="147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19.89%</w:t>
            </w:r>
          </w:p>
        </w:tc>
      </w:tr>
      <w:tr>
        <w:tc>
          <w:tcPr>
            <w:tcW w:type="dxa" w:w="4082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Експоненційне згладжування Гольта-Вінтерса (Add Trend + Add Seasonality)</w:t>
            </w:r>
          </w:p>
        </w:tc>
        <w:tc>
          <w:tcPr>
            <w:tcW w:type="dxa" w:w="136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21.545</w:t>
            </w:r>
          </w:p>
        </w:tc>
        <w:tc>
          <w:tcPr>
            <w:tcW w:type="dxa" w:w="136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26.376</w:t>
            </w:r>
          </w:p>
        </w:tc>
        <w:tc>
          <w:tcPr>
            <w:tcW w:type="dxa" w:w="147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5.11%</w:t>
            </w:r>
          </w:p>
        </w:tc>
      </w:tr>
    </w:tbl>
    <w:p>
      <w:pPr>
        <w:spacing w:line="276" w:lineRule="auto" w:before="160" w:after="80"/>
        <w:jc w:val="both"/>
      </w:pPr>
      <w:r>
        <w:rPr>
          <w:rFonts w:ascii="Times New Roman" w:hAnsi="Times New Roman" w:cs="Times New Roman"/>
          <w:b/>
          <w:i w:val="0"/>
          <w:sz w:val="28"/>
        </w:rPr>
        <w:t>Висновок:</w:t>
      </w:r>
      <w:r>
        <w:rPr>
          <w:rFonts w:ascii="Times New Roman" w:hAnsi="Times New Roman" w:cs="Times New Roman"/>
          <w:b w:val="0"/>
          <w:i w:val="0"/>
          <w:sz w:val="28"/>
        </w:rPr>
        <w:t xml:space="preserve"> Під час виконання лабораторної роботи я опанував практичні методи аналізу та прогнозування часових рядів у середовищі Python. Дослідив структуру рядів за допомогою згладжування ковзним середнім (SMA) та адитивної декомпозиції, виділивши ортогональні компоненти тренду, сезонності та залишків. Провівши експериментальне прогнозування на тестовому горизонті 36 місяців, я переконався у перевазі моделі експоненційного згладжування Гольта-Вінтерса над наївним підходом: урахування сезонності та тренду дозволило знизити середню абсолютну відносну похибку (MAPE) з 19.89% до 5.11%.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