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 w:val="0"/>
          <w:sz w:val="28"/>
        </w:rPr>
        <w:t>ЗВІТ</w:t>
      </w:r>
    </w:p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 w:val="0"/>
          <w:sz w:val="28"/>
        </w:rPr>
        <w:t>про виконання лабораторної роботи №8</w:t>
      </w:r>
    </w:p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 w:val="0"/>
          <w:sz w:val="28"/>
        </w:rPr>
        <w:t>«Асоціативні правила. Алгоритм Apriori»</w:t>
      </w:r>
    </w:p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 w:val="0"/>
          <w:sz w:val="28"/>
        </w:rPr>
        <w:t>з дисципліни</w:t>
      </w:r>
    </w:p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 w:val="0"/>
          <w:sz w:val="28"/>
        </w:rPr>
        <w:t>«Інтелектуальний аналіз даних»</w:t>
      </w:r>
    </w:p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 w:val="0"/>
          <w:sz w:val="28"/>
        </w:rPr>
        <w:t>Студента групи КН-2327Б</w:t>
      </w:r>
    </w:p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/>
          <w:sz w:val="28"/>
        </w:rPr>
        <w:t>Багрія-Белза Андрія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/>
          <w:b/>
          <w:sz w:val="28"/>
        </w:rPr>
        <w:t>Мета роботи:</w:t>
      </w:r>
      <w:r>
        <w:rPr>
          <w:rFonts w:ascii="Times New Roman" w:hAnsi="Times New Roman" w:cs="Times New Roman"/>
          <w:b w:val="0"/>
          <w:sz w:val="28"/>
        </w:rPr>
        <w:t xml:space="preserve"> Дослідити алгоритм видобування асоціативних правил Apriori для аналізу купівельного кошика (Market Basket Analysis), встановити закономірності спільних покупок за метриками підтримки, достовірності та підйому й візуалізувати виявлені закономірності.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/>
          <w:b/>
          <w:sz w:val="28"/>
        </w:rPr>
        <w:t>Завдання 1 (Алгоритм Apriori):</w:t>
      </w:r>
      <w:r>
        <w:rPr>
          <w:rFonts w:ascii="Times New Roman" w:hAnsi="Times New Roman" w:cs="Times New Roman"/>
          <w:b w:val="0"/>
          <w:sz w:val="28"/>
        </w:rPr>
        <w:t xml:space="preserve"> Проведено попереднє очищення транзакцій датасету Basket_data.csv (7501 чек, 119 найменувань) від порожніх значень NaN. Застосовано алгоритм Apriori з параметрами фільтрації: min_support = 0.003 (поява щонайменше у 23 транзакціях), min_confidence = 0.2 (мінімальна достовірність 20%), min_lift = 3.0 (перевага над випадковою сумісністю у 3+ рази) та max_length = 3. Сформовано 72 валідні асоціативні правила, відсортовані за спаданням показника lift.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425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6" w:val="single" w:color="999999"/>
              <w:left w:val="none"/>
              <w:bottom w:sz="12" w:val="single" w:color="333333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Асоціативне правило (Base -&gt; Add)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6" w:val="single" w:color="999999"/>
              <w:left w:val="none"/>
              <w:bottom w:sz="12" w:val="single" w:color="333333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Support</w:t>
            </w:r>
          </w:p>
        </w:tc>
        <w:tc>
          <w:tcPr>
            <w:tcW w:type="dxa" w:w="158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6" w:val="single" w:color="999999"/>
              <w:left w:val="none"/>
              <w:bottom w:sz="12" w:val="single" w:color="333333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Confidence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sz="6" w:val="single" w:color="999999"/>
              <w:left w:val="none"/>
              <w:bottom w:sz="12" w:val="single" w:color="333333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Lift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mineral water, whole wheat pasta -&gt; olive oil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0.0039 (0.39%)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0.403 (40.3%)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6.12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fromage blanc -&gt; honey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0.0033 (0.33%)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0.245 (24.5%)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5.16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spaghetti, tomato sauce -&gt; ground beef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0.0031 (0.31%)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0.489 (48.9%)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4.98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light cream -&gt; chicken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0.0045 (0.45%)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0.291 (29.1%)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4.84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pasta -&gt; escalope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0.0059 (0.59%)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0.373 (37.3%)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none"/>
              <w:bottom w:sz="4" w:val="single" w:color="CCCCCC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4.70</w:t>
            </w:r>
          </w:p>
        </w:tc>
      </w:tr>
    </w:tbl>
    <w:p>
      <w:pPr>
        <w:keepLines/>
        <w:spacing w:line="276" w:lineRule="auto" w:before="0" w:after="80"/>
      </w:pP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/>
          <w:b/>
          <w:sz w:val="28"/>
        </w:rPr>
        <w:t>Завдання 2 (Візуалізація структури правил):</w:t>
      </w:r>
      <w:r>
        <w:rPr>
          <w:rFonts w:ascii="Times New Roman" w:hAnsi="Times New Roman" w:cs="Times New Roman"/>
          <w:b w:val="0"/>
          <w:sz w:val="28"/>
        </w:rPr>
        <w:t xml:space="preserve"> Побудовано орієнтований граф асоціацій (Top-20 за показником Lift), кругову діаграму часток підтримки провідних правил та зіставлення показників Support і Lift.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46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iori_rules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/>
          <w:b/>
          <w:sz w:val="28"/>
        </w:rPr>
        <w:t>Інтерпретація графа:</w:t>
      </w:r>
      <w:r>
        <w:rPr>
          <w:rFonts w:ascii="Times New Roman" w:hAnsi="Times New Roman" w:cs="Times New Roman"/>
          <w:b w:val="0"/>
          <w:sz w:val="28"/>
        </w:rPr>
        <w:t xml:space="preserve"> Орієнтовані дуги відображають спрямованість впливу: наявність комбінації томатного соусу та спагеті або трав з перцем практично уп'ятеро збільшує шанс купівлі яловичого фаршу (Lift 4.98 та 4.70), а покупка цільнозернової пасти разом із водою стимулює придбання оливкової олії (Lift 6.12).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3611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iori_pie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11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/>
          <w:b/>
          <w:sz w:val="28"/>
        </w:rPr>
        <w:t>Інтерпретація розподілу підтримки:</w:t>
      </w:r>
      <w:r>
        <w:rPr>
          <w:rFonts w:ascii="Times New Roman" w:hAnsi="Times New Roman" w:cs="Times New Roman"/>
          <w:b w:val="0"/>
          <w:sz w:val="28"/>
        </w:rPr>
        <w:t xml:space="preserve"> Провідні 7 виявлених пар/трійок акумулюють понад 15% від загальної підтримки всіх знайдених специфічних правил, демонструючи стійкі базові кулінарні та кошикові комбінації покупців.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87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iori_support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8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/>
          <w:b/>
          <w:sz w:val="28"/>
        </w:rPr>
        <w:t>Бізнес-рекомендації мерчандайзингу:</w:t>
      </w:r>
      <w:r>
        <w:rPr>
          <w:rFonts w:ascii="Times New Roman" w:hAnsi="Times New Roman" w:cs="Times New Roman"/>
          <w:b w:val="0"/>
          <w:sz w:val="28"/>
        </w:rPr>
        <w:t xml:space="preserve"> Виявлені сильні парні зв'язки (паста + ескалоп, легкі вершки + курка, нежирний сир + мед) рекомендується використовувати для крос-викладки супутніх товарів у торгових залах супермаркету, налаштування систем рекомендацій в онлайн-магазині та розробки пакетних промо-акцій.</w:t>
      </w:r>
    </w:p>
    <w:p>
      <w:pPr>
        <w:spacing w:line="276" w:lineRule="auto" w:before="0" w:after="80"/>
        <w:jc w:val="both"/>
      </w:pPr>
      <w:r>
        <w:rPr>
          <w:rFonts w:ascii="Times New Roman" w:hAnsi="Times New Roman" w:cs="Times New Roman"/>
          <w:b/>
          <w:sz w:val="28"/>
        </w:rPr>
        <w:t>Висновок:</w:t>
      </w:r>
      <w:r>
        <w:rPr>
          <w:rFonts w:ascii="Times New Roman" w:hAnsi="Times New Roman" w:cs="Times New Roman"/>
          <w:b w:val="0"/>
          <w:sz w:val="28"/>
        </w:rPr>
        <w:t xml:space="preserve"> Під час виконання лабораторної роботи я опанував алгоритм Apriori для аналізу асоціативних правил купівельного кошика та реалізував повний пайплайн передобробки транзакцій. Дослідив вплив метрик Support, Confidence і Lift на якість видобутих зв'язків та переконався, що орієнтовані графи й зіставлення оцінок дозволяють ефективно виявляти приховані комерційні закономірності для мерчандайзингу та крос-продажів.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