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color w:val="000000"/>
          <w:sz w:val="24"/>
          <w:szCs w:val="28"/>
          <w:lang w:val="az-Latn-AZ"/>
        </w:rPr>
        <w:t>ƏMR № 00/K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>Aşağıda məlumatları göstərilən işçinin əmək müqaviləsinə xitam verilsin.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Adı, ata adı və soyadı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Direktorluq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Departament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 w:val="16"/>
          <w:lang w:val="az-Latn-AZ"/>
        </w:rPr>
        <w:t xml:space="preserve"> 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Şöbə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Vəzifə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profession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tarixi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maddəsi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szCs w:val="26"/>
          <w:lang w:val="az-Latn-AZ"/>
        </w:rPr>
        <w:t>Azərbaycan Respublikası ƏM-nin 68-ci maddəsinin 2-ci hissəsinin a bəndinə əsasən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İstifadə edilməmiş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Artıq istifadə edilmiş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Cs w:val="24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Əsas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Cs w:val="24"/>
          <w:lang w:val="az-Latn-AZ"/>
        </w:rPr>
        <w:t xml:space="preserve"> İşçinin ərizəsi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8"/>
          <w:szCs w:val="24"/>
          <w:lang w:val="az-Latn-AZ"/>
        </w:rPr>
      </w:pP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Əmək müqaviləsinə xitam verilərkən işçilərin təminatları: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bookmarkStart w:id="0" w:name="_GoBack"/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End w:id="0"/>
    </w:p>
    <w:p>
      <w:pPr>
        <w:pStyle w:val="9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4F767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uiPriority w:val="0"/>
    <w:rPr>
      <w:rFonts w:eastAsia="MS Mincho"/>
      <w:lang w:val="en-AU"/>
    </w:rPr>
  </w:style>
  <w:style w:type="character" w:customStyle="1" w:styleId="14">
    <w:name w:val="Footer Char"/>
    <w:link w:val="4"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2</TotalTime>
  <ScaleCrop>false</ScaleCrop>
  <LinksUpToDate>false</LinksUpToDate>
  <CharactersWithSpaces>669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2020-08-11T05:01:04Z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