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4BD81">
      <w:pPr>
        <w:jc w:val="center"/>
        <w:outlineLvl w:val="0"/>
        <w:rPr>
          <w:rFonts w:hint="eastAsia"/>
          <w:b/>
          <w:bCs/>
          <w:sz w:val="44"/>
          <w:szCs w:val="44"/>
          <w:lang w:val="en-US" w:eastAsia="zh-CN"/>
        </w:rPr>
      </w:pPr>
      <w:bookmarkStart w:id="0" w:name="_Toc1799758444"/>
      <w:r>
        <w:rPr>
          <w:rFonts w:hint="eastAsia"/>
          <w:b/>
          <w:bCs/>
          <w:sz w:val="44"/>
          <w:szCs w:val="44"/>
          <w:lang w:val="en-US" w:eastAsia="zh-CN"/>
        </w:rPr>
        <w:t>运输企业法人操作手册</w:t>
      </w:r>
      <w:bookmarkEnd w:id="0"/>
    </w:p>
    <w:p w14:paraId="40548383">
      <w:pPr>
        <w:jc w:val="center"/>
        <w:outlineLvl w:val="9"/>
        <w:rPr>
          <w:rFonts w:hint="eastAsia"/>
          <w:b/>
          <w:bCs/>
          <w:sz w:val="44"/>
          <w:szCs w:val="44"/>
          <w:lang w:val="en-US" w:eastAsia="zh-CN"/>
        </w:rPr>
      </w:pPr>
    </w:p>
    <w:p w14:paraId="5BC29E4C">
      <w:pPr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"https://ywxt.csglw.beijing.gov.cn/jzlj/jzlj/sso/"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https://ywxt.csglw.beijing.gov.cn/jzlj/jzlj/sso/</w:t>
      </w:r>
      <w:r>
        <w:rPr>
          <w:rFonts w:hint="eastAsia"/>
          <w:lang w:val="en-US" w:eastAsia="zh-CN"/>
        </w:rPr>
        <w:fldChar w:fldCharType="end"/>
      </w:r>
    </w:p>
    <w:p w14:paraId="37271A37">
      <w:pPr>
        <w:numPr>
          <w:ilvl w:val="0"/>
          <w:numId w:val="1"/>
        </w:numPr>
        <w:jc w:val="both"/>
        <w:outlineLvl w:val="0"/>
        <w:rPr>
          <w:rFonts w:hint="default"/>
          <w:lang w:val="en-US" w:eastAsia="zh-CN"/>
        </w:rPr>
      </w:pPr>
      <w:bookmarkStart w:id="1" w:name="_Toc1233000313"/>
      <w:r>
        <w:rPr>
          <w:rFonts w:hint="eastAsia"/>
          <w:lang w:val="en-US" w:eastAsia="zh-CN"/>
        </w:rPr>
        <w:t>登录方式</w:t>
      </w:r>
    </w:p>
    <w:p w14:paraId="65630282">
      <w:pPr>
        <w:numPr>
          <w:ilvl w:val="0"/>
          <w:numId w:val="0"/>
        </w:numPr>
        <w:jc w:val="both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运输企业法人登录需点击登录下方运输企业法人登录选项。</w:t>
      </w:r>
      <w:bookmarkEnd w:id="1"/>
    </w:p>
    <w:p w14:paraId="5E79D0C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50444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209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2" w:name="_Toc1966550688"/>
      <w:r>
        <w:rPr>
          <w:rFonts w:hint="eastAsia"/>
          <w:lang w:val="en-US" w:eastAsia="zh-CN"/>
        </w:rPr>
        <w:t>随后跳转到北京统一身份认证平台，选择法人登录-口令登录或者电子营业执照扫码登录。</w:t>
      </w:r>
    </w:p>
    <w:p w14:paraId="1B6A6CB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2239645"/>
            <wp:effectExtent l="0" t="0" r="0" b="20955"/>
            <wp:docPr id="4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27AC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49BC0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540000"/>
            <wp:effectExtent l="0" t="0" r="171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12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如果是口令登录输入账号密码后登录成功，成功后登录企业端服务。</w:t>
      </w:r>
    </w:p>
    <w:p w14:paraId="325D2B02">
      <w:pPr>
        <w:numPr>
          <w:ilvl w:val="0"/>
          <w:numId w:val="1"/>
        </w:numPr>
        <w:ind w:left="0" w:leftChars="0" w:firstLine="0" w:firstLineChars="0"/>
        <w:jc w:val="both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企业服务</w:t>
      </w:r>
      <w:bookmarkEnd w:id="2"/>
    </w:p>
    <w:p w14:paraId="531B9751">
      <w:pPr>
        <w:numPr>
          <w:ilvl w:val="0"/>
          <w:numId w:val="2"/>
        </w:numPr>
        <w:ind w:left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电子运单</w:t>
      </w:r>
    </w:p>
    <w:p w14:paraId="14C4E18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2505075"/>
            <wp:effectExtent l="0" t="0" r="184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233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可以查看当前企业下的所有电子运单。</w:t>
      </w:r>
    </w:p>
    <w:p w14:paraId="572A7A4A">
      <w:pPr>
        <w:numPr>
          <w:ilvl w:val="0"/>
          <w:numId w:val="2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查看运单详情</w:t>
      </w:r>
    </w:p>
    <w:p w14:paraId="3D96F7C5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785" cy="1472565"/>
            <wp:effectExtent l="0" t="0" r="1841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6988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可以查看电子运单详情。</w:t>
      </w:r>
    </w:p>
    <w:p w14:paraId="5BB62115">
      <w:pPr>
        <w:numPr>
          <w:ilvl w:val="0"/>
          <w:numId w:val="2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异常运单</w:t>
      </w:r>
    </w:p>
    <w:p w14:paraId="1DBB2D9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8435" cy="1478280"/>
            <wp:effectExtent l="0" t="0" r="24765" b="203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D34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可以查看对应的异常电子运单列表。</w:t>
      </w:r>
    </w:p>
    <w:p w14:paraId="4D0E9FBE">
      <w:pPr>
        <w:numPr>
          <w:ilvl w:val="0"/>
          <w:numId w:val="2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异常运单补写</w:t>
      </w:r>
    </w:p>
    <w:p w14:paraId="7213CD62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0500" cy="1593850"/>
            <wp:effectExtent l="0" t="0" r="1270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261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需要选择对应的工地，异常说明，轨迹图、车辆进场图。</w:t>
      </w:r>
    </w:p>
    <w:p w14:paraId="3B73740B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临时加车确认</w:t>
      </w:r>
    </w:p>
    <w:p w14:paraId="77C9646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在工地添加或编辑临时加车后，对应的企业需要进行确认。</w:t>
      </w:r>
    </w:p>
    <w:p w14:paraId="11CD3A47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6690" cy="2057400"/>
            <wp:effectExtent l="0" t="0" r="1651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4AD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在点击确认按钮后，可以进行同意或拒绝。</w:t>
      </w:r>
    </w:p>
    <w:p w14:paraId="7AFD6DA3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000500" cy="1590675"/>
            <wp:effectExtent l="0" t="0" r="12700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72E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4310" cy="1995805"/>
            <wp:effectExtent l="0" t="0" r="8890" b="1079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C29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同意后，工地成功临时加车，使用对应的车牌号不会产生异常运单。</w:t>
      </w:r>
    </w:p>
    <w:p w14:paraId="041FEEA3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990975" cy="1609725"/>
            <wp:effectExtent l="0" t="0" r="22225" b="1587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120B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1610" cy="2030095"/>
            <wp:effectExtent l="0" t="0" r="21590" b="19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CD5A">
      <w:pPr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如果选择的拒绝后，该工地再次使用该车辆就会产生异常非合作关系企业运单。</w:t>
      </w: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B9304"/>
    <w:multiLevelType w:val="singleLevel"/>
    <w:tmpl w:val="A7FB930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1F6D1C"/>
    <w:multiLevelType w:val="singleLevel"/>
    <w:tmpl w:val="FF1F6D1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1NTEwMjQ0Yjc2ZjkzYjI4NGVjNzU0YzhiNzMzMWMifQ=="/>
  </w:docVars>
  <w:rsids>
    <w:rsidRoot w:val="5DF4F85B"/>
    <w:rsid w:val="5DF4F85B"/>
    <w:rsid w:val="D5B5C435"/>
    <w:rsid w:val="F61F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2026-07-29T02:29:00Z</dcterms:created>
  <dc:creator>北执</dc:creator>
  <cp:lastModifiedBy>北执</cp:lastModifiedBy>
  <dcterms:modified xsi:type="dcterms:W3CDTF">2026-08-14T10:51:16Z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A4C5E22C5E87F353F513686AE12444E9_41</vt:lpwstr>
  </property>
</Properties>
</file>