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逻辑与事实审视：高中优等生“性压抑”假说的结构化拆解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本报告旨在运用分析哲学方法、形式逻辑命题及现代行为科学证据，对视频提出的“高中优等生性压抑与反向补偿”理论进行严谨的去情绪化评估。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概念澄清与定义定义 (Conceptual Clarification)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在深入逻辑审查前，必须对文本中的核心术语进行操作化定义，以消除语义模糊：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性压抑 (Sexual Repression)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经典精神分析定义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：本我（Id）的性冲动因受到超我（Superego）的道德审查，被迫压抑至无意识深处的防御机制。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现代认知与行为学定义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：个体由于外部环境压力或内部认知失调，对自身生理性唤起和性欲望产生的持续性认知抑制与主观焦虑状态。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知识快感 (Epistemic Pleasure)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指人类在解决复杂认知任务、消除信息不确定性时，大脑多巴胺奖赏系统激活所产生的神经学快感。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“知识压抑” (Cognitive Repression/Distress)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本文特指因学业受挫、认知负荷过载，导致“知识快感”中断，进而引发的自我价值感危机与急性负面情绪。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工业化魅力符号 (Industrialized Charismatic Symbols)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指经由媒介工业高度加工、滤镜美化、去污名化且极具感官刺激的性/性别符号（如偶像、垂类擦边短视频）。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论证结构图谱化拆解 (Argument Mapping)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我们将视频的四个核心部分转化为逻辑命题与因果链条：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现象提出命题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68401" cy="213017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401" cy="213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：部分高中优等生拥有健康的社交圈，甚至存在正常的校园恋爱（即具备宣泄渠道）。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68401" cy="213017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401" cy="213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：这部分学生依然存在显著的性压抑状态。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81838" cy="213514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38" cy="21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：校园恋爱（或社交正常）并非消除高中生性压抑的充分条件。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逻辑有效性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有效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。成功证伪了“恋爱必然消除压抑”的直觉性单一因果论。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性幻想破灭因果链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68401" cy="213017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401" cy="213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：互联网普及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0662" cy="209384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62" cy="209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大量接触完美、符号化的“工业化性幻想对象”（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3398" cy="20627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98" cy="206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68401" cy="213017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401" cy="213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：现实异性（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4262" cy="200234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262" cy="200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）与工业幻想对象（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3398" cy="20627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98" cy="206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）存在巨大落差（即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8316" cy="245767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316" cy="245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68401" cy="213017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401" cy="213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：优等生的目标导向认知机制：认为自身付出努力就理应配得上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3398" cy="20627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98" cy="206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推论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31152" cy="20638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52" cy="20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：优等生拒绝将幻想对象“祛魅”，并拒绝接纳现实中的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4262" cy="200234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262" cy="200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81838" cy="213514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38" cy="21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：欲望悬置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0662" cy="209384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62" cy="209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导致性压抑。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自控力的溢出效应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68401" cy="213017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401" cy="213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：长期优异成绩的获得依赖于高强度的执行功能（自控力），即对非学习冲动的持续抑制（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3651" cy="249565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651" cy="24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68401" cy="213017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401" cy="213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：性冲动被分类为“与成绩无关且具有干扰性”的非学习冲动（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4888" cy="243806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88" cy="243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81838" cy="213514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38" cy="21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：自控力的习惯性表达导致对性冲动的常态化、无意识抑制。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反向补偿与错误链接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68401" cy="21301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401" cy="213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：优等生的主要多巴胺来源（快感体系）高度绑定于“知识获取”（学习成功）。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68401" cy="213017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401" cy="213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：遭遇学习瓶颈（知识压抑）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0662" cy="209384"/>
            <wp:effectExtent b="0" l="0" r="0" t="0"/>
            <wp:docPr id="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62" cy="209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产生多巴胺亏空。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32950" cy="22196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50" cy="221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：自我释放（自慰/宣泄）能够提供即时、低门槛的多巴胺。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推论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31152" cy="20638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52" cy="20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：优等生使用“自我释放”来作为“知识压抑”的代偿手段。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81838" cy="21351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38" cy="21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：生理释放与“挫败/逃避”负面情绪建立条件反射，导致释放过程伴随内疚与自我惩罚，未能带来真正快乐，反向加剧性压抑。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逻辑审查与谬误识别 (Logical &amp; Fallacy Analysis)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尽管该论证在现象描述上极具洞察力，但在形式与非形式逻辑上存在以下漏洞：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假性因果与混淆因果 (Post Hoc &amp; Confusing Correlation with Causation)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在第二部分中，论证假设“优等生目标感强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0662" cy="209384"/>
            <wp:effectExtent b="0" l="0" r="0" t="0"/>
            <wp:docPr id="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62" cy="209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认为自己理应配得上工业幻想对象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0662" cy="209384"/>
            <wp:effectExtent b="0" l="0" r="0" t="0"/>
            <wp:docPr id="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62" cy="209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导致欲望悬置”。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逻辑漏洞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：这里存在高估“认知干预”而低估“生物本能”的倾向。优等生的“欲望悬置”可能并非源于“配得上幻想对象”的主观傲慢，而是源于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时间机会成本的高昂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对亲密关系不确定性的恐惧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奥卡姆剃刀检验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：解释“优等生欲望悬置”，假设“他们太忙、害怕恋爱影响成绩”比假设“他们将学术配得感投射到虚拟擦边主播身上”所需的未证实前提更少。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虚假二分谬误 (False Dilemma)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在第四部分中，论证声称“这种释放并非源于生理需求，而是为了填补知识压抑”。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逻辑漏洞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：生理需求与心理代偿并非互斥关系（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03700" cy="26414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3700" cy="264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属于虚假前提）。在生物物理学上，高强度的学业压力（皮质醇升高）往往会伴随自主神经系统的紧张，个体的生理排遣需求在此时会与心理宣泄需求高度重合。将两者割裂开来，属于逻辑上的非此即彼。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条件反射机制的过度推演 (Overextension of Conditioning)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论证指出“长期下来，知识压抑与性建立错误链接，使释放本质不快乐”。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逻辑漏洞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：经典的斯金纳操作性条件反射中，若“释放”（R）能立即终止“压抑带来的痛苦”（S-），这属于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负强化（Negative Reinforcement）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。负强化通常会增加该行为的发生频率，并在行为完成后带来短暂的放松与释怀。视频认为“释放本质不快乐”并非源于“链接错误”，更可能源于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超我道德审查带来的事后认知失调（愧疚感）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事实真值与科学证据审视 (Empirical Fact-Checking)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结合现代性心理学与临床精神医学研究，我们对视频内容的科学真值进行动态调整：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视频论点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科学证据/临床现状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判定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贝叶斯置信度调整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正常恋爱仍可能存在性压抑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恋爱中的性压抑普遍存在，多因性知识匮乏、表现焦虑（Performance Anxiety）或对身体的不接纳引起，与是否是优等生无显著特异性绑定。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部分正确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置信度：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71986" cy="204138"/>
                  <wp:effectExtent b="0" l="0" r="0" t="0"/>
                  <wp:docPr id="1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86" cy="204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（恋爱不等于性满足是常识）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自控力机制溢出导致性压抑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认知神经科学证实，前额叶皮层（PFC）主管的“抑制控制”（Inhibitory Control）属于通用资源。长期高频抑制非学业冲动，确实会泛化为对躯体本能信号的钝化。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正确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置信度：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71986" cy="204138"/>
                  <wp:effectExtent b="0" l="0" r="0" t="0"/>
                  <wp:docPr id="2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86" cy="204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（行为心理学强支持）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工业符号导致性幻想悬置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“媒介景观超真实（Hyperreality）”理论支持此点。但临床上，青少年对现实异性的排斥更多源于现实社交能力的退化，而非单纯的“理应配得上虚拟符号”。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存疑/部分正确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置信度：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71986" cy="204138"/>
                  <wp:effectExtent b="0" l="0" r="0" t="0"/>
                  <wp:docPr id="2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86" cy="204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（解释路径过于学术浪漫化）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知识压抑与释放的负向绑定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压力性自慰（Stress-induced masturbation）是极为普遍的副交感神经激活手段。导致不快乐的核心是“道德污名与时间焦虑”，而非“知识压抑”本身的编码错误。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半对半错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置信度：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71986" cy="204138"/>
                  <wp:effectExtent b="0" l="0" r="0" t="0"/>
                  <wp:docPr id="2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86" cy="204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（混淆了情绪后果与神经编码机制）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模型优化建议 (Revised Structural Model)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为了建立一个逻辑更闭环、符合奥卡姆剃刀原则的解释模型，我们建议将原论证的“精神分析/符号学”框架修正为“超我认知负载与压力代偿”模型：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[极高学业目标] ──&gt; [前额叶超负荷抑制(自控)] ──&gt; [压制生理与情感信号]</w:t>
        <w:br w:type="textWrapping"/>
        <w:t xml:space="preserve">       │                                             │</w:t>
        <w:br w:type="textWrapping"/>
        <w:t xml:space="preserve">       ▼                                             ▼</w:t>
        <w:br w:type="textWrapping"/>
        <w:t xml:space="preserve">[时间与精力机会成本高] ──&gt; [不确定性规避] ──────&gt; [物理/社交阻隔(性压抑)]</w:t>
        <w:br w:type="textWrapping"/>
        <w:t xml:space="preserve">       │                                             │</w:t>
        <w:br w:type="textWrapping"/>
        <w:t xml:space="preserve">       ▼                                             ▼</w:t>
        <w:br w:type="textWrapping"/>
        <w:t xml:space="preserve">[学业挫败(多巴胺断崖)] ──&gt; [低成本生理代偿(自慰)] ──&gt; [超我道德审判/时间焦虑] ──&gt; [恶性循环：内疚式释放]</w:t>
        <w:br w:type="textWrapping"/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优化后的核心结论：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高中优等生的性压抑，本质上是一场“认知管理系统对生物本能系统的强行征用与过载防御”。他们并非死于对工业化符号的虚妄幻想，而是被困于“高自控-高焦虑-即时补偿-高度内疚”的行为闭环之中。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1.png"/><Relationship Id="rId21" Type="http://schemas.openxmlformats.org/officeDocument/2006/relationships/image" Target="media/image26.png"/><Relationship Id="rId24" Type="http://schemas.openxmlformats.org/officeDocument/2006/relationships/image" Target="media/image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8.png"/><Relationship Id="rId25" Type="http://schemas.openxmlformats.org/officeDocument/2006/relationships/image" Target="media/image1.png"/><Relationship Id="rId28" Type="http://schemas.openxmlformats.org/officeDocument/2006/relationships/image" Target="media/image6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14.png"/><Relationship Id="rId7" Type="http://schemas.openxmlformats.org/officeDocument/2006/relationships/image" Target="media/image5.png"/><Relationship Id="rId8" Type="http://schemas.openxmlformats.org/officeDocument/2006/relationships/image" Target="media/image2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11" Type="http://schemas.openxmlformats.org/officeDocument/2006/relationships/image" Target="media/image10.png"/><Relationship Id="rId10" Type="http://schemas.openxmlformats.org/officeDocument/2006/relationships/image" Target="media/image27.png"/><Relationship Id="rId32" Type="http://schemas.openxmlformats.org/officeDocument/2006/relationships/image" Target="media/image17.png"/><Relationship Id="rId13" Type="http://schemas.openxmlformats.org/officeDocument/2006/relationships/image" Target="media/image19.png"/><Relationship Id="rId12" Type="http://schemas.openxmlformats.org/officeDocument/2006/relationships/image" Target="media/image7.png"/><Relationship Id="rId15" Type="http://schemas.openxmlformats.org/officeDocument/2006/relationships/image" Target="media/image20.png"/><Relationship Id="rId14" Type="http://schemas.openxmlformats.org/officeDocument/2006/relationships/image" Target="media/image23.png"/><Relationship Id="rId17" Type="http://schemas.openxmlformats.org/officeDocument/2006/relationships/image" Target="media/image18.png"/><Relationship Id="rId16" Type="http://schemas.openxmlformats.org/officeDocument/2006/relationships/image" Target="media/image21.png"/><Relationship Id="rId19" Type="http://schemas.openxmlformats.org/officeDocument/2006/relationships/image" Target="media/image25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