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校园药膳推荐系统 — 项目交付手册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 xml:space="preserve">：1.0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交付日期</w:t>
      </w:r>
      <w:r>
        <w:rPr>
          <w:rFonts w:eastAsia="等线" w:ascii="Arial" w:cs="Arial" w:hAnsi="Arial"/>
          <w:sz w:val="22"/>
        </w:rPr>
        <w:t xml:space="preserve">：2026-04-12（以实际签署日为准）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适用工程</w:t>
      </w:r>
      <w:r>
        <w:rPr>
          <w:rFonts w:eastAsia="等线" w:ascii="Arial" w:cs="Arial" w:hAnsi="Arial"/>
          <w:sz w:val="22"/>
        </w:rPr>
        <w:t xml:space="preserve">：仓库根目录 </w:t>
      </w:r>
      <w:r>
        <w:rPr>
          <w:rFonts w:eastAsia="Consolas" w:ascii="Consolas" w:cs="Consolas" w:hAnsi="Consolas"/>
          <w:sz w:val="22"/>
          <w:shd w:fill="EFF0F1"/>
        </w:rPr>
        <w:t>medican</w:t>
      </w:r>
      <w:r>
        <w:rPr>
          <w:rFonts w:eastAsia="等线" w:ascii="Arial" w:cs="Arial" w:hAnsi="Arial"/>
          <w:sz w:val="22"/>
        </w:rPr>
        <w:t xml:space="preserve">（前端 </w:t>
      </w:r>
      <w:r>
        <w:rPr>
          <w:rFonts w:eastAsia="Consolas" w:ascii="Consolas" w:cs="Consolas" w:hAnsi="Consolas"/>
          <w:sz w:val="22"/>
          <w:shd w:fill="EFF0F1"/>
        </w:rPr>
        <w:t>tcm-diet-frontend</w:t>
      </w:r>
      <w:r>
        <w:rPr>
          <w:rFonts w:eastAsia="等线" w:ascii="Arial" w:cs="Arial" w:hAnsi="Arial"/>
          <w:sz w:val="22"/>
        </w:rPr>
        <w:t xml:space="preserve">、后端 </w:t>
      </w:r>
      <w:r>
        <w:rPr>
          <w:rFonts w:eastAsia="Consolas" w:ascii="Consolas" w:cs="Consolas" w:hAnsi="Consolas"/>
          <w:sz w:val="22"/>
          <w:shd w:fill="EFF0F1"/>
        </w:rPr>
        <w:t>campus-diet-backend</w:t>
      </w:r>
      <w:r>
        <w:rPr>
          <w:rFonts w:eastAsia="等线" w:ascii="Arial" w:cs="Arial" w:hAnsi="Arial"/>
          <w:sz w:val="22"/>
        </w:rPr>
        <w:t>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校园餐饮供给以</w:t>
      </w:r>
      <w:r>
        <w:rPr>
          <w:rFonts w:eastAsia="等线" w:ascii="Arial" w:cs="Arial" w:hAnsi="Arial"/>
          <w:b w:val="true"/>
          <w:sz w:val="22"/>
        </w:rPr>
        <w:t>周更、有限 SKU</w:t>
      </w:r>
      <w:r>
        <w:rPr>
          <w:rFonts w:eastAsia="等线" w:ascii="Arial" w:cs="Arial" w:hAnsi="Arial"/>
          <w:sz w:val="22"/>
        </w:rPr>
        <w:t xml:space="preserve"> 为常态，学生在「体质调养、场景化需求（备考、养胃等）」与「档口真实可点」之间缺乏统一、可信的决策辅助。本项目建设</w:t>
      </w:r>
      <w:r>
        <w:rPr>
          <w:rFonts w:eastAsia="等线" w:ascii="Arial" w:cs="Arial" w:hAnsi="Arial"/>
          <w:b w:val="true"/>
          <w:sz w:val="22"/>
        </w:rPr>
        <w:t>校园药膳推荐系统</w:t>
      </w:r>
      <w:r>
        <w:rPr>
          <w:rFonts w:eastAsia="等线" w:ascii="Arial" w:cs="Arial" w:hAnsi="Arial"/>
          <w:sz w:val="22"/>
        </w:rPr>
        <w:t>：以药膳档案与周菜单为真源，结合体质与偏好，在规则约束下输出可解释、可落地的推荐与 AI 辅助说明。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建设目标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体质测评与档案、本周校园药膳日历、十大场景食疗路径、个性化推荐流</w:t>
            </w:r>
            <w:r>
              <w:rPr>
                <w:rFonts w:eastAsia="等线" w:ascii="Arial" w:cs="Arial" w:hAnsi="Arial"/>
                <w:sz w:val="22"/>
              </w:rPr>
              <w:t>、AI 食疗方案（在有限池内说明与排序）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「本周可点」类输出与周菜单/菜品档案</w:t>
            </w:r>
            <w:r>
              <w:rPr>
                <w:rFonts w:eastAsia="等线" w:ascii="Arial" w:cs="Arial" w:hAnsi="Arial"/>
                <w:sz w:val="22"/>
              </w:rPr>
              <w:t>一致；AI 不替代「是否有货」的判定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</w:t>
            </w:r>
            <w:r>
              <w:rPr>
                <w:rFonts w:eastAsia="等线" w:ascii="Arial" w:cs="Arial" w:hAnsi="Arial"/>
                <w:sz w:val="22"/>
              </w:rPr>
              <w:t>维护药膳、食材、用户及周历等运营数据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前后端分离、REST API、可本地/内网联调、具备</w:t>
            </w:r>
            <w:r>
              <w:rPr>
                <w:rFonts w:eastAsia="等线" w:ascii="Arial" w:cs="Arial" w:hAnsi="Arial"/>
                <w:sz w:val="22"/>
              </w:rPr>
              <w:t>自动化联调脚本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范围说明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范围内</w:t>
      </w:r>
      <w:r>
        <w:rPr>
          <w:rFonts w:eastAsia="等线" w:ascii="Arial" w:cs="Arial" w:hAnsi="Arial"/>
          <w:sz w:val="22"/>
        </w:rPr>
        <w:t>：浏览器端 Web 应用（学生/校园端与管理端入口）、Spring Boot 后端 API、MySQL 数据持久化、OpenAI 兼容大模型网关对接（食疗生成等）、联调与演示数据种子。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范围外（或非承诺项）</w:t>
      </w:r>
      <w:r>
        <w:rPr>
          <w:rFonts w:eastAsia="等线" w:ascii="Arial" w:cs="Arial" w:hAnsi="Arial"/>
          <w:sz w:val="22"/>
        </w:rPr>
        <w:t>：不替代诊疗或疗效承诺；生产级高可用集群、统一身份认证与学校现有一卡通/支付系统深度对接，需在后续迭代中单独立项。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整体进度与关键里程碑（示例，可按实际调整）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状态（示例）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需求与设计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 修订、信息架构与接口对齐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 核心后端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用户鉴权、</w:t>
            </w:r>
            <w:r>
              <w:rPr>
                <w:rFonts w:eastAsia="等线" w:ascii="Arial" w:cs="Arial" w:hAnsi="Arial"/>
                <w:sz w:val="22"/>
              </w:rPr>
              <w:t>药膳/周历/场景 API、推荐与 AI 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 前端实现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校园端与管理端页面、与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</w:t>
            </w:r>
            <w:r>
              <w:rPr>
                <w:rFonts w:eastAsia="等线" w:ascii="Arial" w:cs="Arial" w:hAnsi="Arial"/>
                <w:sz w:val="22"/>
              </w:rPr>
              <w:t xml:space="preserve"> 联调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 联调与数据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脚本、演示种子、大模型</w:t>
            </w:r>
            <w:r>
              <w:rPr>
                <w:rFonts w:eastAsia="等线" w:ascii="Arial" w:cs="Arial" w:hAnsi="Arial"/>
                <w:sz w:val="22"/>
              </w:rPr>
              <w:t>网关联调说明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 交付与验收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交付物打包、验收测试、手册移交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待双方确认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最终成果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可运行的</w:t>
      </w:r>
      <w:r>
        <w:rPr>
          <w:rFonts w:eastAsia="等线" w:ascii="Arial" w:cs="Arial" w:hAnsi="Arial"/>
          <w:b w:val="true"/>
          <w:sz w:val="22"/>
        </w:rPr>
        <w:t>前后端工程</w:t>
      </w:r>
      <w:r>
        <w:rPr>
          <w:rFonts w:eastAsia="等线" w:ascii="Arial" w:cs="Arial" w:hAnsi="Arial"/>
          <w:sz w:val="22"/>
        </w:rPr>
        <w:t xml:space="preserve">及根目录 </w:t>
      </w:r>
      <w:r>
        <w:rPr>
          <w:rFonts w:eastAsia="等线" w:ascii="Arial" w:cs="Arial" w:hAnsi="Arial"/>
          <w:b w:val="true"/>
          <w:sz w:val="22"/>
        </w:rPr>
        <w:t>README</w:t>
      </w:r>
      <w:r>
        <w:rPr>
          <w:rFonts w:eastAsia="等线" w:ascii="Arial" w:cs="Arial" w:hAnsi="Arial"/>
          <w:sz w:val="22"/>
        </w:rPr>
        <w:t xml:space="preserve"> 中的快速启动说明。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产品需求修订稿</w:t>
      </w:r>
      <w:r>
        <w:rPr>
          <w:rFonts w:eastAsia="等线" w:ascii="Arial" w:cs="Arial" w:hAnsi="Arial"/>
          <w:sz w:val="22"/>
        </w:rPr>
        <w:t>（Markdown）：</w:t>
      </w:r>
      <w:r>
        <w:rPr>
          <w:rFonts w:eastAsia="Consolas" w:ascii="Consolas" w:cs="Consolas" w:hAnsi="Consolas"/>
          <w:sz w:val="22"/>
          <w:shd w:fill="EFF0F1"/>
        </w:rPr>
        <w:t>校园药膳推荐系统PRD（修订版）.md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大模型联调说明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大模型调用调试说明.md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自动化联调脚本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test_integration.py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</w:t>
      </w:r>
      <w:r>
        <w:rPr>
          <w:rFonts w:eastAsia="等线" w:ascii="Arial" w:cs="Arial" w:hAnsi="Arial"/>
          <w:b w:val="true"/>
          <w:sz w:val="22"/>
        </w:rPr>
        <w:t>项目交付手册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2. 交付物清单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</w:t>
            </w:r>
            <w:r>
              <w:rPr>
                <w:rFonts w:eastAsia="等线" w:ascii="Arial" w:cs="Arial" w:hAnsi="Arial"/>
                <w:sz w:val="22"/>
              </w:rPr>
              <w:t>物名称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 / 路径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前端工程源码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电子版（Git</w:t>
            </w:r>
            <w:r>
              <w:rPr>
                <w:rFonts w:eastAsia="等线" w:ascii="Arial" w:cs="Arial" w:hAnsi="Arial"/>
                <w:sz w:val="22"/>
              </w:rPr>
              <w:t>/压缩包）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tcm-diet-frontend/</w:t>
            </w:r>
            <w:r>
              <w:rPr>
                <w:rFonts w:eastAsia="等线" w:ascii="Arial" w:cs="Arial" w:hAnsi="Arial"/>
                <w:sz w:val="22"/>
              </w:rPr>
              <w:t>（Vue 3 + Vite）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前端构建产物</w:t>
            </w:r>
            <w:r>
              <w:rPr>
                <w:rFonts w:eastAsia="等线" w:ascii="Arial" w:cs="Arial" w:hAnsi="Arial"/>
                <w:sz w:val="22"/>
              </w:rPr>
              <w:t>（可选）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tcm-diet-frontend/dist/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npm run build</w:t>
            </w:r>
            <w:r>
              <w:rPr>
                <w:rFonts w:eastAsia="等线" w:ascii="Arial" w:cs="Arial" w:hAnsi="Arial"/>
                <w:sz w:val="22"/>
              </w:rPr>
              <w:t xml:space="preserve"> 生成）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后端工程源码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campus-diet-backend/</w:t>
            </w:r>
            <w:r>
              <w:rPr>
                <w:rFonts w:eastAsia="等线" w:ascii="Arial" w:cs="Arial" w:hAnsi="Arial"/>
                <w:sz w:val="22"/>
              </w:rPr>
              <w:t>（Spring Boot）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数据库脚本与种子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campus-diet-backend/src/main/resources/db/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bootstrap/</w:t>
            </w:r>
            <w:r>
              <w:rPr>
                <w:rFonts w:eastAsia="等线" w:ascii="Arial" w:cs="Arial" w:hAnsi="Arial"/>
                <w:sz w:val="22"/>
              </w:rPr>
              <w:t xml:space="preserve"> 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产品需求文档（修订版）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电子版；纸质可选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校园药膳推荐系统PRD（修订版）.md</w:t>
            </w:r>
            <w:r>
              <w:rPr>
                <w:rFonts w:eastAsia="等线" w:ascii="Arial" w:cs="Arial" w:hAnsi="Arial"/>
                <w:sz w:val="22"/>
              </w:rPr>
              <w:t xml:space="preserve">、同主题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.docx</w:t>
            </w:r>
            <w:r>
              <w:rPr>
                <w:rFonts w:eastAsia="等线" w:ascii="Arial" w:cs="Arial" w:hAnsi="Arial"/>
                <w:sz w:val="22"/>
              </w:rPr>
              <w:t>（若有）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大模型调用与调试</w:t>
            </w: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大模型调用调试说明.md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根目录 README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README.md</w:t>
            </w:r>
            <w:r>
              <w:rPr>
                <w:rFonts w:eastAsia="等线" w:ascii="Arial" w:cs="Arial" w:hAnsi="Arial"/>
                <w:sz w:val="22"/>
              </w:rPr>
              <w:t>（启动顺序、MySQL、端口、代理</w:t>
            </w:r>
            <w:r>
              <w:rPr>
                <w:rFonts w:eastAsia="等线" w:ascii="Arial" w:cs="Arial" w:hAnsi="Arial"/>
                <w:sz w:val="22"/>
              </w:rPr>
              <w:t>说明）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自动化联调测试脚本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test_integration.py</w:t>
            </w:r>
            <w:r>
              <w:rPr>
                <w:rFonts w:eastAsia="等线" w:ascii="Arial" w:cs="Arial" w:hAnsi="Arial"/>
                <w:sz w:val="22"/>
              </w:rPr>
              <w:t>（Python 3.8+，标准库）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 MySQL 辅助配置（可选）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mysql-dev-my.ini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启动MySQL开发实例.bat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启动后端.bat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启动前端.bat</w:t>
            </w:r>
            <w:r>
              <w:rPr>
                <w:rFonts w:eastAsia="等线" w:ascii="Arial" w:cs="Arial" w:hAnsi="Arial"/>
                <w:sz w:val="22"/>
              </w:rPr>
              <w:t xml:space="preserve"> 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Maven</w:t>
            </w:r>
            <w:r>
              <w:rPr>
                <w:rFonts w:eastAsia="等线" w:ascii="Arial" w:cs="Arial" w:hAnsi="Arial"/>
                <w:sz w:val="22"/>
              </w:rPr>
              <w:t xml:space="preserve"> 本机配置示例（可选）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maven-settings-d.xml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项目交付手册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电子版</w:t>
            </w:r>
            <w:r>
              <w:rPr>
                <w:rFonts w:eastAsia="等线" w:ascii="Arial" w:cs="Arial" w:hAnsi="Arial"/>
                <w:sz w:val="22"/>
              </w:rPr>
              <w:t>；纸质可选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本文档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项目交付手册.md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交付形态说明</w:t>
      </w:r>
      <w:r>
        <w:rPr>
          <w:rFonts w:eastAsia="等线" w:ascii="Arial" w:cs="Arial" w:hAnsi="Arial"/>
          <w:sz w:val="22"/>
        </w:rPr>
        <w:t>：默认以</w:t>
      </w:r>
      <w:r>
        <w:rPr>
          <w:rFonts w:eastAsia="等线" w:ascii="Arial" w:cs="Arial" w:hAnsi="Arial"/>
          <w:b w:val="true"/>
          <w:sz w:val="22"/>
        </w:rPr>
        <w:t>电子版</w:t>
      </w:r>
      <w:r>
        <w:rPr>
          <w:rFonts w:eastAsia="等线" w:ascii="Arial" w:cs="Arial" w:hAnsi="Arial"/>
          <w:sz w:val="22"/>
        </w:rPr>
        <w:t>移交（仓库或归档压缩包）。若合同要求纸质盖章副本，由双方另行约定份数与邮寄。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3. 技术实施方案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系统架构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  浏览器（用户/管理员）                    │</w:t>
              <w:br/>
              <w:t>│              tcm-diet-frontend（Vue 3 + Vite）               │</w:t>
              <w:br/>
              <w:t>│   开发态：/api → Vite 代理 → http://127.0.0.1:11888           │</w:t>
              <w:br/>
              <w:t>└────────────────────────────┬────────────────────────────────┘</w:t>
              <w:br/>
              <w:t xml:space="preserve">                             │ HTTP(S) JSON</w:t>
              <w:br/>
              <w:t>┌────────────────────────────▼────────────────────────────────┐</w:t>
              <w:br/>
              <w:t>│           campus-diet-backend（Spring Boot 2.7）               │</w:t>
              <w:br/>
              <w:t>│   REST：/api/** ；探活：/health、/api/health                  │</w:t>
              <w:br/>
              <w:t>│   JWT 鉴权、业务服务、MyBatis-Plus 访问 MySQL                  │</w:t>
              <w:br/>
              <w:t>└──────────────┬─────────────────────────────┬──────────────────┘</w:t>
              <w:br/>
              <w:t xml:space="preserve">               │ JDBC                         │ HTTPS（可配置）</w:t>
              <w:br/>
              <w:t xml:space="preserve">               ▼                              ▼</w:t>
              <w:br/>
              <w:t xml:space="preserve">        ┌──────────────┐              ┌──────────────────┐</w:t>
              <w:br/>
              <w:t xml:space="preserve">        │   MySQL      │              │ 大模型网关        │</w:t>
              <w:br/>
              <w:t xml:space="preserve">        │ 库：tcm_diet  │              │ OpenAI 兼容       │</w:t>
              <w:br/>
              <w:t xml:space="preserve">        └──────────────┘              │ /v1/chat/...     │</w:t>
              <w:br/>
              <w:t xml:space="preserve">                                      └────────</w:t>
            </w:r>
            <w:r>
              <w:rPr>
                <w:rFonts w:eastAsia="Consolas" w:ascii="Consolas" w:cs="Consolas" w:hAnsi="Consolas"/>
                <w:sz w:val="22"/>
              </w:rPr>
              <w:t>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技术栈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  <w:r>
              <w:rPr>
                <w:rFonts w:eastAsia="等线" w:ascii="Arial" w:cs="Arial" w:hAnsi="Arial"/>
                <w:sz w:val="22"/>
              </w:rPr>
              <w:t>选型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前端框架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3、Vue Router、Pinia（含持久化插件）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 UI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 Plus（管理端等）、Vant（移动端风格场景）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构建与</w:t>
            </w: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Vite 6、TypeScript（工具链</w:t>
            </w:r>
            <w:r>
              <w:rPr>
                <w:rFonts w:eastAsia="等线" w:ascii="Arial" w:cs="Arial" w:hAnsi="Arial"/>
                <w:sz w:val="22"/>
              </w:rPr>
              <w:t>）、Node.js/npm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图表与富文本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ECharts、</w:t>
            </w:r>
            <w:r>
              <w:rPr>
                <w:rFonts w:eastAsia="等线" w:ascii="Arial" w:cs="Arial" w:hAnsi="Arial"/>
                <w:sz w:val="22"/>
              </w:rPr>
              <w:t>Marked、DOMPurify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后端运行时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Java 11（以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pom.xml</w:t>
            </w:r>
            <w:r>
              <w:rPr>
                <w:rFonts w:eastAsia="等线" w:ascii="Arial" w:cs="Arial" w:hAnsi="Arial"/>
                <w:sz w:val="22"/>
              </w:rPr>
              <w:t xml:space="preserve"> 为准）、Spring Boot 2.7.18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MyBatis-Plus 3.5.5、MySQL（Connector/J）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 JWT（jjwt）、Spring Security Crypto（密码编码）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客户端调用 OpenAI 兼容 </w:t>
            </w:r>
            <w:r>
              <w:rPr>
                <w:rFonts w:eastAsia="等线" w:ascii="Arial" w:cs="Arial" w:hAnsi="Arial"/>
                <w:b w:val="true"/>
                <w:sz w:val="22"/>
              </w:rPr>
              <w:t>Chat Completions</w:t>
            </w:r>
            <w:r>
              <w:rPr>
                <w:rFonts w:eastAsia="等线" w:ascii="Arial" w:cs="Arial" w:hAnsi="Arial"/>
                <w:sz w:val="22"/>
              </w:rPr>
              <w:t xml:space="preserve">；配置项见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llm.*</w:t>
            </w:r>
            <w:r>
              <w:rPr>
                <w:rFonts w:eastAsia="等线" w:ascii="Arial" w:cs="Arial" w:hAnsi="Arial"/>
                <w:sz w:val="22"/>
              </w:rPr>
              <w:t xml:space="preserve"> 与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LlmProperties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 xml:space="preserve">：根目录 </w:t>
      </w:r>
      <w:r>
        <w:rPr>
          <w:rFonts w:eastAsia="Consolas" w:ascii="Consolas" w:cs="Consolas" w:hAnsi="Consolas"/>
          <w:sz w:val="22"/>
          <w:shd w:fill="EFF0F1"/>
        </w:rPr>
        <w:t>README</w:t>
      </w:r>
      <w:r>
        <w:rPr>
          <w:rFonts w:eastAsia="等线" w:ascii="Arial" w:cs="Arial" w:hAnsi="Arial"/>
          <w:sz w:val="22"/>
        </w:rPr>
        <w:t xml:space="preserve"> 中若提及 JDK 17+，多为脚本环境便利；</w:t>
      </w:r>
      <w:r>
        <w:rPr>
          <w:rFonts w:eastAsia="Consolas" w:ascii="Consolas" w:cs="Consolas" w:hAnsi="Consolas"/>
          <w:b w:val="true"/>
          <w:sz w:val="22"/>
          <w:shd w:fill="EFF0F1"/>
        </w:rPr>
        <w:t>campus-diet-backend/pom.xmljava.version</w:t>
      </w:r>
      <w:r>
        <w:rPr>
          <w:rFonts w:eastAsia="等线" w:ascii="Arial" w:cs="Arial" w:hAnsi="Arial"/>
          <w:b w:val="true"/>
          <w:sz w:val="22"/>
        </w:rPr>
        <w:t>编译目标以  的  为准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3.3 主要设计决策</w:t>
      </w:r>
      <w:bookmarkEnd w:id="1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供给真源</w:t>
      </w:r>
      <w:r>
        <w:rPr>
          <w:rFonts w:eastAsia="等线" w:ascii="Arial" w:cs="Arial" w:hAnsi="Arial"/>
          <w:sz w:val="22"/>
        </w:rPr>
        <w:t xml:space="preserve">：周菜单与菜品档案由库表维护；推荐与场景页与「本周已发布」数据对齐，避免模型「发明」当周菜品。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职责边界</w:t>
      </w:r>
      <w:r>
        <w:rPr>
          <w:rFonts w:eastAsia="等线" w:ascii="Arial" w:cs="Arial" w:hAnsi="Arial"/>
          <w:sz w:val="22"/>
        </w:rPr>
        <w:t xml:space="preserve">：AI 负责在候选集合内的解释、排序与组合建议；可通过 </w:t>
      </w:r>
      <w:r>
        <w:rPr>
          <w:rFonts w:eastAsia="Consolas" w:ascii="Consolas" w:cs="Consolas" w:hAnsi="Consolas"/>
          <w:sz w:val="22"/>
          <w:shd w:fill="EFF0F1"/>
        </w:rPr>
        <w:t>campus.diet.ai.mock</w:t>
      </w:r>
      <w:r>
        <w:rPr>
          <w:rFonts w:eastAsia="等线" w:ascii="Arial" w:cs="Arial" w:hAnsi="Arial"/>
          <w:sz w:val="22"/>
        </w:rPr>
        <w:t xml:space="preserve"> 关闭上游调用走本地兜底。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前后端分离</w:t>
      </w:r>
      <w:r>
        <w:rPr>
          <w:rFonts w:eastAsia="等线" w:ascii="Arial" w:cs="Arial" w:hAnsi="Arial"/>
          <w:sz w:val="22"/>
        </w:rPr>
        <w:t xml:space="preserve">：开发环境通过 Vite 将 </w:t>
      </w:r>
      <w:r>
        <w:rPr>
          <w:rFonts w:eastAsia="Consolas" w:ascii="Consolas" w:cs="Consolas" w:hAnsi="Consolas"/>
          <w:sz w:val="22"/>
          <w:shd w:fill="EFF0F1"/>
        </w:rPr>
        <w:t>/api</w:t>
      </w:r>
      <w:r>
        <w:rPr>
          <w:rFonts w:eastAsia="等线" w:ascii="Arial" w:cs="Arial" w:hAnsi="Arial"/>
          <w:sz w:val="22"/>
        </w:rPr>
        <w:t xml:space="preserve"> 代理到后端，生产可由 Nginx 等同源反代。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启动期种子数据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application.yml</w:t>
      </w:r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Consolas" w:ascii="Consolas" w:cs="Consolas" w:hAnsi="Consolas"/>
          <w:sz w:val="22"/>
          <w:shd w:fill="EFF0F1"/>
        </w:rPr>
        <w:t>campus.diet.seed-*</w:t>
      </w:r>
      <w:r>
        <w:rPr>
          <w:rFonts w:eastAsia="等线" w:ascii="Arial" w:cs="Arial" w:hAnsi="Arial"/>
          <w:sz w:val="22"/>
        </w:rPr>
        <w:t xml:space="preserve"> 控制演示菜谱、交互与周历种子，生产应评估关闭或替换为正式初始化流程。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接口设计（模块一览）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以下为主要控制器前缀（均为 REST JSON，多数业务接口需携带 </w:t>
      </w:r>
      <w:r>
        <w:rPr>
          <w:rFonts w:eastAsia="Consolas" w:ascii="Consolas" w:cs="Consolas" w:hAnsi="Consolas"/>
          <w:sz w:val="22"/>
          <w:shd w:fill="EFF0F1"/>
        </w:rPr>
        <w:t>Authorization: Bearer &lt;token&gt;</w:t>
      </w:r>
      <w:r>
        <w:rPr>
          <w:rFonts w:eastAsia="等线" w:ascii="Arial" w:cs="Arial" w:hAnsi="Arial"/>
          <w:sz w:val="22"/>
        </w:rPr>
        <w:t xml:space="preserve">，以实际 </w:t>
      </w:r>
      <w:r>
        <w:rPr>
          <w:rFonts w:eastAsia="Consolas" w:ascii="Consolas" w:cs="Consolas" w:hAnsi="Consolas"/>
          <w:sz w:val="22"/>
          <w:shd w:fill="EFF0F1"/>
        </w:rPr>
        <w:t>WebConfig</w:t>
      </w:r>
      <w:r>
        <w:rPr>
          <w:rFonts w:eastAsia="等线" w:ascii="Arial" w:cs="Arial" w:hAnsi="Arial"/>
          <w:sz w:val="22"/>
        </w:rPr>
        <w:t>/拦截器为准）：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/health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/api/health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运维与脚本检测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/api/auth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登录、注册、登</w:t>
            </w:r>
            <w:r>
              <w:rPr>
                <w:rFonts w:eastAsia="等线" w:ascii="Arial" w:cs="Arial" w:hAnsi="Arial"/>
                <w:sz w:val="22"/>
              </w:rPr>
              <w:t>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  <w:r>
              <w:rPr>
                <w:rFonts w:eastAsia="等线" w:ascii="Arial" w:cs="Arial" w:hAnsi="Arial"/>
                <w:sz w:val="22"/>
              </w:rPr>
              <w:t>与档案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体质问卷、档案、偏好等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收藏与历史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/api/user</w:t>
            </w:r>
            <w:r>
              <w:rPr>
                <w:rFonts w:eastAsia="等线" w:ascii="Arial" w:cs="Arial" w:hAnsi="Arial"/>
                <w:sz w:val="22"/>
              </w:rPr>
              <w:t>（子路径）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收藏夹、浏览历史等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公开菜谱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/api/recipes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菜谱详情等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校园场景与推荐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/api/campus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/api/campus/recipes/recommend-feed</w:t>
            </w:r>
            <w:r>
              <w:rPr>
                <w:rFonts w:eastAsia="等线" w:ascii="Arial" w:cs="Arial" w:hAnsi="Arial"/>
                <w:sz w:val="22"/>
              </w:rPr>
              <w:t xml:space="preserve"> 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十大场景食疗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/api/scenes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/api/scenes/{id}/recipes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 /api/ai/generate</w:t>
            </w:r>
            <w:r>
              <w:rPr>
                <w:rFonts w:eastAsia="等线" w:ascii="Arial" w:cs="Arial" w:hAnsi="Arial"/>
                <w:sz w:val="22"/>
              </w:rPr>
              <w:t xml:space="preserve"> 食疗方案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/api/admin/*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菜谱、食材、用户</w:t>
            </w:r>
            <w:r>
              <w:rPr>
                <w:rFonts w:eastAsia="等线" w:ascii="Arial" w:cs="Arial" w:hAnsi="Arial"/>
                <w:sz w:val="22"/>
              </w:rPr>
              <w:t>、仪表盘、周历等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统一响应结构以后端 </w:t>
      </w:r>
      <w:r>
        <w:rPr>
          <w:rFonts w:eastAsia="Consolas" w:ascii="Consolas" w:cs="Consolas" w:hAnsi="Consolas"/>
          <w:sz w:val="22"/>
          <w:shd w:fill="EFF0F1"/>
        </w:rPr>
        <w:t>ApiResponse</w:t>
      </w:r>
      <w:r>
        <w:rPr>
          <w:rFonts w:eastAsia="等线" w:ascii="Arial" w:cs="Arial" w:hAnsi="Arial"/>
          <w:sz w:val="22"/>
        </w:rPr>
        <w:t xml:space="preserve">为准（通常含业务码与 </w:t>
      </w: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载荷）。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3.5 关键算法与策略（摘要）</w:t>
      </w:r>
      <w:bookmarkEnd w:id="1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推荐权重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campus.diet.recommend.match-weight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popularity-weight</w:t>
      </w:r>
      <w:r>
        <w:rPr>
          <w:rFonts w:eastAsia="等线" w:ascii="Arial" w:cs="Arial" w:hAnsi="Arial"/>
          <w:sz w:val="22"/>
        </w:rPr>
        <w:t xml:space="preserve">（体质/季节匹配 vs 热度），二者权重和为 1。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体质测评</w:t>
      </w:r>
      <w:r>
        <w:rPr>
          <w:rFonts w:eastAsia="等线" w:ascii="Arial" w:cs="Arial" w:hAnsi="Arial"/>
          <w:sz w:val="22"/>
        </w:rPr>
        <w:t xml:space="preserve">：九题量表映射体质倾向（详见前端问卷与后端 </w:t>
      </w:r>
      <w:r>
        <w:rPr>
          <w:rFonts w:eastAsia="Consolas" w:ascii="Consolas" w:cs="Consolas" w:hAnsi="Consolas"/>
          <w:sz w:val="22"/>
          <w:shd w:fill="EFF0F1"/>
        </w:rPr>
        <w:t>ConstitutionSurveyService</w:t>
      </w:r>
      <w:r>
        <w:rPr>
          <w:rFonts w:eastAsia="等线" w:ascii="Arial" w:cs="Arial" w:hAnsi="Arial"/>
          <w:sz w:val="22"/>
        </w:rPr>
        <w:t xml:space="preserve">）。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食疗</w:t>
      </w:r>
      <w:r>
        <w:rPr>
          <w:rFonts w:eastAsia="等线" w:ascii="Arial" w:cs="Arial" w:hAnsi="Arial"/>
          <w:sz w:val="22"/>
        </w:rPr>
        <w:t>：组装用户症状与体质等上下文，调用上游 chat completions，并对结果做业务封装；失败或 mock 时走本地拼装路径。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 xml:space="preserve">3.6 配置要点（后端 </w:t>
      </w:r>
      <w:r>
        <w:rPr>
          <w:rFonts w:eastAsia="Consolas" w:ascii="Consolas" w:cs="Consolas" w:hAnsi="Consolas"/>
          <w:b w:val="true"/>
          <w:sz w:val="32"/>
          <w:shd w:fill="EFF0F1"/>
        </w:rPr>
        <w:t>application.yml</w:t>
      </w:r>
      <w:r>
        <w:rPr>
          <w:rFonts w:eastAsia="等线" w:ascii="Arial" w:cs="Arial" w:hAnsi="Arial"/>
          <w:b w:val="true"/>
          <w:sz w:val="32"/>
        </w:rPr>
        <w:t xml:space="preserve"> 摘要）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server.port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server.address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默认 </w:t>
            </w:r>
            <w:r>
              <w:rPr>
                <w:rFonts w:eastAsia="等线" w:ascii="Arial" w:cs="Arial" w:hAnsi="Arial"/>
                <w:b w:val="true"/>
                <w:sz w:val="22"/>
              </w:rPr>
              <w:t>11888</w:t>
            </w:r>
            <w:r>
              <w:rPr>
                <w:rFonts w:eastAsia="等线" w:ascii="Arial" w:cs="Arial" w:hAnsi="Arial"/>
                <w:sz w:val="22"/>
              </w:rPr>
              <w:t xml:space="preserve">，监听 </w:t>
            </w:r>
            <w:r>
              <w:rPr>
                <w:rFonts w:eastAsia="等线" w:ascii="Arial" w:cs="Arial" w:hAnsi="Arial"/>
                <w:b w:val="true"/>
                <w:sz w:val="22"/>
              </w:rPr>
              <w:t>0.0.0.0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spring.datasource.*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MySQL </w:t>
            </w:r>
            <w:r>
              <w:rPr>
                <w:rFonts w:eastAsia="等线" w:ascii="Arial" w:cs="Arial" w:hAnsi="Arial"/>
                <w:sz w:val="22"/>
              </w:rPr>
              <w:t xml:space="preserve">地址、库名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tcm_diet</w:t>
            </w:r>
            <w:r>
              <w:rPr>
                <w:rFonts w:eastAsia="等线" w:ascii="Arial" w:cs="Arial" w:hAnsi="Arial"/>
                <w:sz w:val="22"/>
              </w:rPr>
              <w:t>、账号口令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spring.sql.init.*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启动执行</w:t>
            </w:r>
            <w:r>
              <w:rPr>
                <w:rFonts w:eastAsia="等线" w:ascii="Arial" w:cs="Arial" w:hAnsi="Arial"/>
                <w:sz w:val="22"/>
              </w:rPr>
              <w:t xml:space="preserve"> schema/data SQL（生产需评估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mode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llm.url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llm.api-key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llm.model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llm.timeout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大模型网关；</w:t>
            </w:r>
            <w:r>
              <w:rPr>
                <w:rFonts w:eastAsia="等线" w:ascii="Arial" w:cs="Arial" w:hAnsi="Arial"/>
                <w:b w:val="true"/>
                <w:sz w:val="22"/>
              </w:rPr>
              <w:t>生产密钥建议仅用环境变量注入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campus.jwt.*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 密钥与过期时间；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secret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生产必须更换 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campus.diet.ai.*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总开关与 mock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campus.diet.seed-*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演示数据种子开关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环境变量覆盖示例：</w:t>
      </w:r>
      <w:r>
        <w:rPr>
          <w:rFonts w:eastAsia="Consolas" w:ascii="Consolas" w:cs="Consolas" w:hAnsi="Consolas"/>
          <w:sz w:val="22"/>
          <w:shd w:fill="EFF0F1"/>
        </w:rPr>
        <w:t>LLM_URL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LLM_API_KEY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LLM_MODEL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LLM_TIMEOUT_MS</w:t>
      </w:r>
      <w:r>
        <w:rPr>
          <w:rFonts w:eastAsia="等线" w:ascii="Arial" w:cs="Arial" w:hAnsi="Arial"/>
          <w:sz w:val="22"/>
        </w:rPr>
        <w:t>（与代码及注释一致）。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4. 安装与部署指南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4.1 软硬件与环境要求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 / PC（最小演示）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可运行 MySQL 8.x、Java 11+、Node.js 18+（前端开发与构建）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 ≥ 8 GB（MySQL + JVM + 浏览器</w:t>
            </w:r>
            <w:r>
              <w:rPr>
                <w:rFonts w:eastAsia="等线" w:ascii="Arial" w:cs="Arial" w:hAnsi="Arial"/>
                <w:sz w:val="22"/>
              </w:rPr>
              <w:t>开发）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预留日志与数据库</w:t>
            </w:r>
            <w:r>
              <w:rPr>
                <w:rFonts w:eastAsia="等线" w:ascii="Arial" w:cs="Arial" w:hAnsi="Arial"/>
                <w:sz w:val="22"/>
              </w:rPr>
              <w:t>空间；开发实例数据目录勿提交版本库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若启用 AI：需可达大模型网关；内网域名需 </w:t>
            </w:r>
            <w:r>
              <w:rPr>
                <w:rFonts w:eastAsia="等线" w:ascii="Arial" w:cs="Arial" w:hAnsi="Arial"/>
                <w:b w:val="true"/>
                <w:sz w:val="22"/>
              </w:rPr>
              <w:t>DNS 或 hosts</w:t>
            </w:r>
            <w:r>
              <w:rPr>
                <w:rFonts w:eastAsia="等线" w:ascii="Arial" w:cs="Arial" w:hAnsi="Arial"/>
                <w:sz w:val="22"/>
              </w:rPr>
              <w:t>（见《大模型调用调试说明》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现代 Chromium / Firefox / Safari 最新稳定版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4.2 MySQL 安装与库初始化</w:t>
      </w:r>
      <w:bookmarkEnd w:id="1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MySQL 8（或使用校方既有实例）。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创建数据库 </w:t>
      </w:r>
      <w:r>
        <w:rPr>
          <w:rFonts w:eastAsia="Consolas" w:ascii="Consolas" w:cs="Consolas" w:hAnsi="Consolas"/>
          <w:b w:val="true"/>
          <w:sz w:val="22"/>
          <w:shd w:fill="EFF0F1"/>
        </w:rPr>
        <w:t>tcm_diet</w:t>
      </w:r>
      <w:r>
        <w:rPr>
          <w:rFonts w:eastAsia="等线" w:ascii="Arial" w:cs="Arial" w:hAnsi="Arial"/>
          <w:sz w:val="22"/>
        </w:rPr>
        <w:t>，字符集建议</w:t>
      </w:r>
      <w:r>
        <w:rPr>
          <w:rFonts w:eastAsia="Consolas" w:ascii="Consolas" w:cs="Consolas" w:hAnsi="Consolas"/>
          <w:sz w:val="22"/>
          <w:shd w:fill="EFF0F1"/>
        </w:rPr>
        <w:t>utf8mb4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配置 </w:t>
      </w:r>
      <w:r>
        <w:rPr>
          <w:rFonts w:eastAsia="Consolas" w:ascii="Consolas" w:cs="Consolas" w:hAnsi="Consolas"/>
          <w:sz w:val="22"/>
          <w:shd w:fill="EFF0F1"/>
        </w:rPr>
        <w:t>application.yml</w:t>
      </w:r>
      <w:r>
        <w:rPr>
          <w:rFonts w:eastAsia="等线" w:ascii="Arial" w:cs="Arial" w:hAnsi="Arial"/>
          <w:sz w:val="22"/>
        </w:rPr>
        <w:t xml:space="preserve"> 中数据源用户名、密码与主机。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首次启动后端时，按 </w:t>
      </w:r>
      <w:r>
        <w:rPr>
          <w:rFonts w:eastAsia="Consolas" w:ascii="Consolas" w:cs="Consolas" w:hAnsi="Consolas"/>
          <w:sz w:val="22"/>
          <w:shd w:fill="EFF0F1"/>
        </w:rPr>
        <w:t>spring.sql.init</w:t>
      </w:r>
      <w:r>
        <w:rPr>
          <w:rFonts w:eastAsia="等线" w:ascii="Arial" w:cs="Arial" w:hAnsi="Arial"/>
          <w:sz w:val="22"/>
        </w:rPr>
        <w:t xml:space="preserve"> 执行 </w:t>
      </w:r>
      <w:r>
        <w:rPr>
          <w:rFonts w:eastAsia="Consolas" w:ascii="Consolas" w:cs="Consolas" w:hAnsi="Consolas"/>
          <w:sz w:val="22"/>
          <w:shd w:fill="EFF0F1"/>
        </w:rPr>
        <w:t>schema.sql</w:t>
      </w:r>
      <w:r>
        <w:rPr>
          <w:rFonts w:eastAsia="等线" w:ascii="Arial" w:cs="Arial" w:hAnsi="Arial"/>
          <w:sz w:val="22"/>
        </w:rPr>
        <w:t xml:space="preserve">、补丁脚本与 </w:t>
      </w:r>
      <w:r>
        <w:rPr>
          <w:rFonts w:eastAsia="Consolas" w:ascii="Consolas" w:cs="Consolas" w:hAnsi="Consolas"/>
          <w:sz w:val="22"/>
          <w:shd w:fill="EFF0F1"/>
        </w:rPr>
        <w:t>data.sql</w:t>
      </w:r>
      <w:r>
        <w:rPr>
          <w:rFonts w:eastAsia="等线" w:ascii="Arial" w:cs="Arial" w:hAnsi="Arial"/>
          <w:sz w:val="22"/>
        </w:rPr>
        <w:t xml:space="preserve">（若 </w:t>
      </w:r>
      <w:r>
        <w:rPr>
          <w:rFonts w:eastAsia="Consolas" w:ascii="Consolas" w:cs="Consolas" w:hAnsi="Consolas"/>
          <w:sz w:val="22"/>
          <w:shd w:fill="EFF0F1"/>
        </w:rPr>
        <w:t>continue-on-error: true</w:t>
      </w:r>
      <w:r>
        <w:rPr>
          <w:rFonts w:eastAsia="等线" w:ascii="Arial" w:cs="Arial" w:hAnsi="Arial"/>
          <w:sz w:val="22"/>
        </w:rPr>
        <w:t xml:space="preserve">，注意日志中是否有可忽略或可修复的错误）。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根目录</w:t>
      </w:r>
      <w:r>
        <w:rPr>
          <w:rFonts w:eastAsia="Consolas" w:ascii="Consolas" w:cs="Consolas" w:hAnsi="Consolas"/>
          <w:sz w:val="22"/>
          <w:shd w:fill="EFF0F1"/>
        </w:rPr>
        <w:t>README.md</w:t>
      </w:r>
      <w:r>
        <w:rPr>
          <w:rFonts w:eastAsia="等线" w:ascii="Arial" w:cs="Arial" w:hAnsi="Arial"/>
          <w:sz w:val="22"/>
        </w:rPr>
        <w:t xml:space="preserve"> 提供了 Windows 下本地 </w:t>
      </w:r>
      <w:r>
        <w:rPr>
          <w:rFonts w:eastAsia="Consolas" w:ascii="Consolas" w:cs="Consolas" w:hAnsi="Consolas"/>
          <w:sz w:val="22"/>
          <w:shd w:fill="EFF0F1"/>
        </w:rPr>
        <w:t>mysqld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b w:val="true"/>
          <w:sz w:val="22"/>
          <w:shd w:fill="EFF0F1"/>
        </w:rPr>
        <w:t>mysql-dev-my.ini</w:t>
      </w:r>
      <w:r>
        <w:rPr>
          <w:rFonts w:eastAsia="等线" w:ascii="Arial" w:cs="Arial" w:hAnsi="Arial"/>
          <w:sz w:val="22"/>
        </w:rPr>
        <w:t xml:space="preserve"> 的可选方案，仅供开发便利。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4.3 后端部署步骤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campus-diet-backend</w:t>
              <w:br/>
              <w:t># 可选：mvn -s ../maven-settings-d.xml</w:t>
              <w:br/>
              <w:t>mvn -DskipTests package</w:t>
              <w:br/>
              <w:t>java -jar target/campus-diet-backend-1.0.0-SNAPSHOT.jar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生产建议：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b w:val="true"/>
          <w:sz w:val="22"/>
          <w:shd w:fill="EFF0F1"/>
        </w:rPr>
        <w:t>LLM_*SPRING_DATASOURCE_*</w:t>
      </w:r>
      <w:r>
        <w:rPr>
          <w:rFonts w:eastAsia="等线" w:ascii="Arial" w:cs="Arial" w:hAnsi="Arial"/>
          <w:b w:val="true"/>
          <w:sz w:val="22"/>
        </w:rPr>
        <w:t>、</w:t>
      </w:r>
      <w:r>
        <w:rPr>
          <w:rFonts w:eastAsia="等线" w:ascii="Arial" w:cs="Arial" w:hAnsi="Arial"/>
          <w:sz w:val="22"/>
        </w:rPr>
        <w:t xml:space="preserve"> 等环境变量或外部化配置覆盖敏感项与连接串。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b w:val="true"/>
          <w:sz w:val="22"/>
          <w:shd w:fill="EFF0F1"/>
        </w:rPr>
        <w:t>campus.jwt.secret</w:t>
      </w:r>
      <w:r>
        <w:rPr>
          <w:rFonts w:eastAsia="等线" w:ascii="Arial" w:cs="Arial" w:hAnsi="Arial"/>
          <w:sz w:val="22"/>
        </w:rPr>
        <w:t xml:space="preserve"> 更换为足够长度的随机密钥。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评估 </w:t>
      </w:r>
      <w:r>
        <w:rPr>
          <w:rFonts w:eastAsia="Consolas" w:ascii="Consolas" w:cs="Consolas" w:hAnsi="Consolas"/>
          <w:b w:val="true"/>
          <w:sz w:val="22"/>
          <w:shd w:fill="EFF0F1"/>
        </w:rPr>
        <w:t>spring.sql.init.mode</w:t>
      </w:r>
      <w:r>
        <w:rPr>
          <w:rFonts w:eastAsia="等线" w:ascii="Arial" w:cs="Arial" w:hAnsi="Arial"/>
          <w:sz w:val="22"/>
        </w:rPr>
        <w:t xml:space="preserve">：生产常见为 </w:t>
      </w:r>
      <w:r>
        <w:rPr>
          <w:rFonts w:eastAsia="Consolas" w:ascii="Consolas" w:cs="Consolas" w:hAnsi="Consolas"/>
          <w:sz w:val="22"/>
          <w:shd w:fill="EFF0F1"/>
        </w:rPr>
        <w:t>never</w:t>
      </w:r>
      <w:r>
        <w:rPr>
          <w:rFonts w:eastAsia="等线" w:ascii="Arial" w:cs="Arial" w:hAnsi="Arial"/>
          <w:sz w:val="22"/>
        </w:rPr>
        <w:t xml:space="preserve"> 或迁移工具（Flyway/Liquibase）接管。 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关闭或收紧 </w:t>
      </w:r>
      <w:r>
        <w:rPr>
          <w:rFonts w:eastAsia="Consolas" w:ascii="Consolas" w:cs="Consolas" w:hAnsi="Consolas"/>
          <w:b w:val="true"/>
          <w:sz w:val="22"/>
          <w:shd w:fill="EFF0F1"/>
        </w:rPr>
        <w:t>seed-mock-recipesseed-demo-interactionsseed-weekly-calendar</w:t>
      </w:r>
      <w:r>
        <w:rPr>
          <w:rFonts w:eastAsia="等线" w:ascii="Arial" w:cs="Arial" w:hAnsi="Arial"/>
          <w:b w:val="true"/>
          <w:sz w:val="22"/>
        </w:rPr>
        <w:t xml:space="preserve"> /  /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健康检查：</w:t>
      </w:r>
      <w:r>
        <w:rPr>
          <w:rFonts w:eastAsia="Consolas" w:ascii="Consolas" w:cs="Consolas" w:hAnsi="Consolas"/>
          <w:sz w:val="22"/>
          <w:shd w:fill="EFF0F1"/>
        </w:rPr>
        <w:t>curl http://&lt;host&gt;:11888/api/health</w:t>
      </w:r>
      <w:r>
        <w:rPr>
          <w:rFonts w:eastAsia="等线" w:ascii="Arial" w:cs="Arial" w:hAnsi="Arial"/>
          <w:sz w:val="22"/>
        </w:rPr>
        <w:t xml:space="preserve"> 应返回含 </w:t>
      </w:r>
      <w:r>
        <w:rPr>
          <w:rFonts w:eastAsia="Consolas" w:ascii="Consolas" w:cs="Consolas" w:hAnsi="Consolas"/>
          <w:sz w:val="22"/>
          <w:shd w:fill="EFF0F1"/>
        </w:rPr>
        <w:t>"status":"ok"</w:t>
      </w:r>
      <w:r>
        <w:rPr>
          <w:rFonts w:eastAsia="等线" w:ascii="Arial" w:cs="Arial" w:hAnsi="Arial"/>
          <w:sz w:val="22"/>
        </w:rPr>
        <w:t xml:space="preserve"> 的 JSON。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4.4 前端构建与部署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tcm-diet-frontend</w:t>
              <w:br/>
              <w:t>npm install</w:t>
              <w:br/>
              <w:t>npm run build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b w:val="true"/>
          <w:sz w:val="22"/>
          <w:shd w:fill="EFF0F1"/>
        </w:rPr>
        <w:t>dist/</w:t>
      </w:r>
      <w:r>
        <w:rPr>
          <w:rFonts w:eastAsia="等线" w:ascii="Arial" w:cs="Arial" w:hAnsi="Arial"/>
          <w:sz w:val="22"/>
        </w:rPr>
        <w:t xml:space="preserve"> 目录部署到 Nginx（或其它静态资源服务器）。</w:t>
      </w:r>
      <w:r>
        <w:rPr>
          <w:rFonts w:eastAsia="等线" w:ascii="Arial" w:cs="Arial" w:hAnsi="Arial"/>
          <w:b w:val="true"/>
          <w:sz w:val="22"/>
        </w:rPr>
        <w:t>生产环境</w:t>
      </w:r>
      <w:r>
        <w:rPr>
          <w:rFonts w:eastAsia="等线" w:ascii="Arial" w:cs="Arial" w:hAnsi="Arial"/>
          <w:sz w:val="22"/>
        </w:rPr>
        <w:t xml:space="preserve">需配置反向代理：将浏览器同源的 </w:t>
      </w:r>
      <w:r>
        <w:rPr>
          <w:rFonts w:eastAsia="Consolas" w:ascii="Consolas" w:cs="Consolas" w:hAnsi="Consolas"/>
          <w:b w:val="true"/>
          <w:sz w:val="22"/>
          <w:shd w:fill="EFF0F1"/>
        </w:rPr>
        <w:t>/api</w:t>
      </w:r>
      <w:r>
        <w:rPr>
          <w:rFonts w:eastAsia="等线" w:ascii="Arial" w:cs="Arial" w:hAnsi="Arial"/>
          <w:sz w:val="22"/>
        </w:rPr>
        <w:t xml:space="preserve"> 转发到后端 </w:t>
      </w:r>
      <w:r>
        <w:rPr>
          <w:rFonts w:eastAsia="Consolas" w:ascii="Consolas" w:cs="Consolas" w:hAnsi="Consolas"/>
          <w:sz w:val="22"/>
          <w:shd w:fill="EFF0F1"/>
        </w:rPr>
        <w:t>http(s)://&lt;backend-host&gt;:11888</w:t>
      </w:r>
      <w:r>
        <w:rPr>
          <w:rFonts w:eastAsia="等线" w:ascii="Arial" w:cs="Arial" w:hAnsi="Arial"/>
          <w:sz w:val="22"/>
        </w:rPr>
        <w:t>，并保持路径前缀不变（与 Vite 开发代理行为一致）。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开发联调：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run dev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默认开发服务器端口 </w:t>
      </w:r>
      <w:r>
        <w:rPr>
          <w:rFonts w:eastAsia="等线" w:ascii="Arial" w:cs="Arial" w:hAnsi="Arial"/>
          <w:b w:val="true"/>
          <w:sz w:val="22"/>
        </w:rPr>
        <w:t>11999</w:t>
      </w:r>
      <w:r>
        <w:rPr>
          <w:rFonts w:eastAsia="等线" w:ascii="Arial" w:cs="Arial" w:hAnsi="Arial"/>
          <w:sz w:val="22"/>
        </w:rPr>
        <w:t xml:space="preserve">（见 </w:t>
      </w:r>
      <w:r>
        <w:rPr>
          <w:rFonts w:eastAsia="Consolas" w:ascii="Consolas" w:cs="Consolas" w:hAnsi="Consolas"/>
          <w:sz w:val="22"/>
          <w:shd w:fill="EFF0F1"/>
        </w:rPr>
        <w:t>vite.config.js</w:t>
      </w:r>
      <w:r>
        <w:rPr>
          <w:rFonts w:eastAsia="等线" w:ascii="Arial" w:cs="Arial" w:hAnsi="Arial"/>
          <w:sz w:val="22"/>
        </w:rPr>
        <w:t>），</w:t>
      </w:r>
      <w:r>
        <w:rPr>
          <w:rFonts w:eastAsia="Consolas" w:ascii="Consolas" w:cs="Consolas" w:hAnsi="Consolas"/>
          <w:sz w:val="22"/>
          <w:shd w:fill="EFF0F1"/>
        </w:rPr>
        <w:t>/api</w:t>
      </w:r>
      <w:r>
        <w:rPr>
          <w:rFonts w:eastAsia="等线" w:ascii="Arial" w:cs="Arial" w:hAnsi="Arial"/>
          <w:sz w:val="22"/>
        </w:rPr>
        <w:t xml:space="preserve"> 代理到 </w:t>
      </w:r>
      <w:r>
        <w:rPr>
          <w:rFonts w:eastAsia="Consolas" w:ascii="Consolas" w:cs="Consolas" w:hAnsi="Consolas"/>
          <w:sz w:val="22"/>
          <w:shd w:fill="EFF0F1"/>
        </w:rPr>
        <w:t>http://127.0.0.1:11888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大模型网关初始化</w:t>
      </w:r>
      <w:bookmarkEnd w:id="1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确认网关地址与模型 ID、鉴权方式。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设置环境变量或配置文件中的 </w:t>
      </w:r>
      <w:r>
        <w:rPr>
          <w:rFonts w:eastAsia="Consolas" w:ascii="Consolas" w:cs="Consolas" w:hAnsi="Consolas"/>
          <w:b w:val="true"/>
          <w:sz w:val="22"/>
          <w:shd w:fill="EFF0F1"/>
        </w:rPr>
        <w:t>LLM_URLLLM_API_KEYLLM_MODEL</w:t>
      </w:r>
      <w:r>
        <w:rPr>
          <w:rFonts w:eastAsia="等线" w:ascii="Arial" w:cs="Arial" w:hAnsi="Arial"/>
          <w:b w:val="true"/>
          <w:sz w:val="22"/>
        </w:rPr>
        <w:t>、、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使用《大模型调用调试说明》中的 </w:t>
      </w:r>
      <w:r>
        <w:rPr>
          <w:rFonts w:eastAsia="等线" w:ascii="Arial" w:cs="Arial" w:hAnsi="Arial"/>
          <w:b w:val="true"/>
          <w:sz w:val="22"/>
        </w:rPr>
        <w:t>curl</w:t>
      </w:r>
      <w:r>
        <w:rPr>
          <w:rFonts w:eastAsia="等线" w:ascii="Arial" w:cs="Arial" w:hAnsi="Arial"/>
          <w:sz w:val="22"/>
        </w:rPr>
        <w:t xml:space="preserve"> 样例直连验证，再启动后端调用 </w:t>
      </w:r>
      <w:r>
        <w:rPr>
          <w:rFonts w:eastAsia="Consolas" w:ascii="Consolas" w:cs="Consolas" w:hAnsi="Consolas"/>
          <w:sz w:val="22"/>
          <w:shd w:fill="EFF0F1"/>
        </w:rPr>
        <w:t>POST /api/ai/generate</w:t>
      </w:r>
      <w:r>
        <w:rPr>
          <w:rFonts w:eastAsia="等线" w:ascii="Arial" w:cs="Arial" w:hAnsi="Arial"/>
          <w:sz w:val="22"/>
        </w:rPr>
        <w:t xml:space="preserve"> 等业务接口。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切勿</w:t>
      </w:r>
      <w:r>
        <w:rPr>
          <w:rFonts w:eastAsia="等线" w:ascii="Arial" w:cs="Arial" w:hAnsi="Arial"/>
          <w:sz w:val="22"/>
        </w:rPr>
        <w:t>在对外仓库或纸质材料中长期印制明文密钥；密钥轮换按校方安全制度执行。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5. 用户与维护手册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5.1 用户功能说明（摘要）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详细交互以 PRD 与实际上线版本为准，功能轮廓如下：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学生（校园端）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注册/登录、体质测评、个人中心、本周药膳</w:t>
            </w:r>
            <w:r>
              <w:rPr>
                <w:rFonts w:eastAsia="等线" w:ascii="Arial" w:cs="Arial" w:hAnsi="Arial"/>
                <w:sz w:val="22"/>
              </w:rPr>
              <w:t xml:space="preserve">日历、场景页路径、推荐流、菜谱详情、收藏/历史、AI </w:t>
            </w:r>
            <w:r>
              <w:rPr>
                <w:rFonts w:eastAsia="等线" w:ascii="Arial" w:cs="Arial" w:hAnsi="Arial"/>
                <w:sz w:val="22"/>
              </w:rPr>
              <w:t>食疗生成（受后端与网关可用性影响）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后台登录、仪表盘、药膳/食材</w:t>
            </w:r>
            <w:r>
              <w:rPr>
                <w:rFonts w:eastAsia="等线" w:ascii="Arial" w:cs="Arial" w:hAnsi="Arial"/>
                <w:sz w:val="22"/>
              </w:rPr>
              <w:t>维护、用户管理、校园周历维护等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重要提示（合规）</w:t>
      </w:r>
      <w:r>
        <w:rPr>
          <w:rFonts w:eastAsia="等线" w:ascii="Arial" w:cs="Arial" w:hAnsi="Arial"/>
          <w:sz w:val="22"/>
        </w:rPr>
        <w:t>：界面与文案应提示「膳食建议不替代诊疗」，过敏与禁忌信息以用户自述与医嘱为准。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5.2 运维监控建议</w:t>
      </w:r>
      <w:bookmarkEnd w:id="2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进程探活</w:t>
      </w:r>
      <w:r>
        <w:rPr>
          <w:rFonts w:eastAsia="等线" w:ascii="Arial" w:cs="Arial" w:hAnsi="Arial"/>
          <w:sz w:val="22"/>
        </w:rPr>
        <w:t xml:space="preserve">：定时请求 </w:t>
      </w:r>
      <w:r>
        <w:rPr>
          <w:rFonts w:eastAsia="Consolas" w:ascii="Consolas" w:cs="Consolas" w:hAnsi="Consolas"/>
          <w:sz w:val="22"/>
          <w:shd w:fill="EFF0F1"/>
        </w:rPr>
        <w:t>GET /api/health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</w:t>
      </w:r>
      <w:r>
        <w:rPr>
          <w:rFonts w:eastAsia="等线" w:ascii="Arial" w:cs="Arial" w:hAnsi="Arial"/>
          <w:sz w:val="22"/>
        </w:rPr>
        <w:t xml:space="preserve">：Spring Boot 标准日志；关注数据源连接失败、JWT 校验失败率、大模型调用超时与 HTTP 4xx/5xx。 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</w:t>
      </w:r>
      <w:r>
        <w:rPr>
          <w:rFonts w:eastAsia="等线" w:ascii="Arial" w:cs="Arial" w:hAnsi="Arial"/>
          <w:sz w:val="22"/>
        </w:rPr>
        <w:t xml:space="preserve">：备份策略、磁盘空间、慢查询；周历与菜谱大批量更新时关注锁与事务耗时。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：MySQL 与 LLM 网关 SLA；任一不可用时应按产品设计降级（如无 AI 仅规则推荐、或无周历时空态提示）。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5.3 常见故障与处理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/api/health</w:t>
            </w:r>
            <w:r>
              <w:rPr>
                <w:rFonts w:eastAsia="等线" w:ascii="Arial" w:cs="Arial" w:hAnsi="Arial"/>
                <w:sz w:val="22"/>
              </w:rPr>
              <w:t xml:space="preserve"> 不通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后端未启动、端口占用、</w:t>
            </w:r>
            <w:r>
              <w:rPr>
                <w:rFonts w:eastAsia="等线" w:ascii="Arial" w:cs="Arial" w:hAnsi="Arial"/>
                <w:sz w:val="22"/>
              </w:rPr>
              <w:t>防火墙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检查进程与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11888</w:t>
            </w:r>
            <w:r>
              <w:rPr>
                <w:rFonts w:eastAsia="等线" w:ascii="Arial" w:cs="Arial" w:hAnsi="Arial"/>
                <w:sz w:val="22"/>
              </w:rPr>
              <w:t>、安全组/本机防火墙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 401/403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过期、密钥变更、时钟漂移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核对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campus.jwt</w:t>
            </w:r>
            <w:r>
              <w:rPr>
                <w:rFonts w:eastAsia="等线" w:ascii="Arial" w:cs="Arial" w:hAnsi="Arial"/>
                <w:sz w:val="22"/>
              </w:rPr>
              <w:t>、客户端本地时间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</w:t>
            </w:r>
            <w:r>
              <w:rPr>
                <w:rFonts w:eastAsia="等线" w:ascii="Arial" w:cs="Arial" w:hAnsi="Arial"/>
                <w:sz w:val="22"/>
              </w:rPr>
              <w:t xml:space="preserve"> 404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静态站未配置反代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Nginx 增加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</w:t>
            </w:r>
            <w:r>
              <w:rPr>
                <w:rFonts w:eastAsia="等线" w:ascii="Arial" w:cs="Arial" w:hAnsi="Arial"/>
                <w:sz w:val="22"/>
              </w:rPr>
              <w:t xml:space="preserve"> → 后端 upstream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一直超时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网关不可达、模型过载、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llm.timeout</w:t>
            </w:r>
            <w:r>
              <w:rPr>
                <w:rFonts w:eastAsia="等线" w:ascii="Arial" w:cs="Arial" w:hAnsi="Arial"/>
                <w:sz w:val="22"/>
              </w:rPr>
              <w:t xml:space="preserve"> 过短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hosts/DNS、curl 直</w:t>
            </w:r>
            <w:r>
              <w:rPr>
                <w:rFonts w:eastAsia="等线" w:ascii="Arial" w:cs="Arial" w:hAnsi="Arial"/>
                <w:sz w:val="22"/>
              </w:rPr>
              <w:t>连、调大超时或限流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数据库报错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账号权限、库未建、SQL 未执行完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查看启动日志、手动执行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db</w:t>
            </w:r>
            <w:r>
              <w:rPr>
                <w:rFonts w:eastAsia="等线" w:ascii="Arial" w:cs="Arial" w:hAnsi="Arial"/>
                <w:sz w:val="22"/>
              </w:rPr>
              <w:t xml:space="preserve"> 脚本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5.4 配置变更与发版</w:t>
      </w:r>
      <w:bookmarkEnd w:id="2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在测试环境验证配置diff与数据库迁移。 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先滚动或停机更新后端，再更新静态资源（或同时进行并短暂维护窗）。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发版后执行探活与核心场景冒烟（登录、日历、推荐、管理端登录）。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6. 测试与验收报告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6.1 测试策略与范围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单元/数据测试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前端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npm test</w:t>
            </w:r>
            <w:r>
              <w:rPr>
                <w:rFonts w:eastAsia="等线" w:ascii="Arial" w:cs="Arial" w:hAnsi="Arial"/>
                <w:sz w:val="22"/>
              </w:rPr>
              <w:t>（体质问卷等脚本测试）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E2E（可选）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npm run test:e2e</w:t>
            </w:r>
            <w:r>
              <w:rPr>
                <w:rFonts w:eastAsia="等线" w:ascii="Arial" w:cs="Arial" w:hAnsi="Arial"/>
                <w:sz w:val="22"/>
              </w:rPr>
              <w:t>（Playwright，依赖环境）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接口联</w:t>
            </w:r>
            <w:r>
              <w:rPr>
                <w:rFonts w:eastAsia="等线" w:ascii="Arial" w:cs="Arial" w:hAnsi="Arial"/>
                <w:sz w:val="22"/>
              </w:rPr>
              <w:t>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python test_integration.py</w:t>
            </w:r>
            <w:r>
              <w:rPr>
                <w:rFonts w:eastAsia="等线" w:ascii="Arial" w:cs="Arial" w:hAnsi="Arial"/>
                <w:sz w:val="22"/>
              </w:rPr>
              <w:t>（Python 标准库，覆盖登录、体质、偏好、推荐、AI、收藏</w:t>
            </w:r>
            <w:r>
              <w:rPr>
                <w:rFonts w:eastAsia="等线" w:ascii="Arial" w:cs="Arial" w:hAnsi="Arial"/>
                <w:sz w:val="22"/>
              </w:rPr>
              <w:t>、场景、管理端等路径）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6.2 测试环境与前置条件</w:t>
      </w:r>
      <w:bookmarkEnd w:id="2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后端已启动，默认 </w:t>
      </w:r>
      <w:r>
        <w:rPr>
          <w:rFonts w:eastAsia="Consolas" w:ascii="Consolas" w:cs="Consolas" w:hAnsi="Consolas"/>
          <w:sz w:val="22"/>
          <w:shd w:fill="EFF0F1"/>
        </w:rPr>
        <w:t>BASE_URL=http://localhost:11888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测试账号可通过环境变量 </w:t>
      </w:r>
      <w:r>
        <w:rPr>
          <w:rFonts w:eastAsia="Consolas" w:ascii="Consolas" w:cs="Consolas" w:hAnsi="Consolas"/>
          <w:sz w:val="22"/>
          <w:shd w:fill="EFF0F1"/>
        </w:rPr>
        <w:t>TEST_USERNAME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TEST_PASSWORD</w:t>
      </w:r>
      <w:r>
        <w:rPr>
          <w:rFonts w:eastAsia="等线" w:ascii="Arial" w:cs="Arial" w:hAnsi="Arial"/>
          <w:sz w:val="22"/>
        </w:rPr>
        <w:t xml:space="preserve"> 等覆盖；脚本默认与种子用户一致（见脚本头部注释）。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相关用例受 </w:t>
      </w:r>
      <w:r>
        <w:rPr>
          <w:rFonts w:eastAsia="Consolas" w:ascii="Consolas" w:cs="Consolas" w:hAnsi="Consolas"/>
          <w:b w:val="true"/>
          <w:sz w:val="22"/>
          <w:shd w:fill="EFF0F1"/>
        </w:rPr>
        <w:t>campus.diet.ai.enabled</w:t>
      </w:r>
      <w:r>
        <w:rPr>
          <w:rFonts w:eastAsia="等线" w:ascii="Arial" w:cs="Arial" w:hAnsi="Arial"/>
          <w:sz w:val="22"/>
        </w:rPr>
        <w:t xml:space="preserve"> 与上游网关影响；失败时记录为失败或警告并分析日志。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 BASE_URL=http://localhost:11888</w:t>
              <w:br/>
              <w:t>python test_integration.py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6.3 测试用例与结果（模板）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承建方填写</w:t>
      </w:r>
      <w:r>
        <w:rPr>
          <w:rFonts w:eastAsia="等线" w:ascii="Arial" w:cs="Arial" w:hAnsi="Arial"/>
          <w:sz w:val="22"/>
        </w:rPr>
        <w:t>：用例编号、执行日期、执行人、通过/失败、缺陷单号。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</w:t>
            </w: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健康检查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/api/health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status=ok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用户注册/登录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 token 与</w:t>
            </w:r>
            <w:r>
              <w:rPr>
                <w:rFonts w:eastAsia="等线" w:ascii="Arial" w:cs="Arial" w:hAnsi="Arial"/>
                <w:sz w:val="22"/>
              </w:rPr>
              <w:t>用户信息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体质问卷提交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档案更新成功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推荐流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/api/campus/recipes/recommend-feed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 JSON 列表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 食疗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 /api/ai/generate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成功或符合 mock 策略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</w:t>
            </w:r>
            <w:r>
              <w:rPr>
                <w:rFonts w:eastAsia="等线" w:ascii="Arial" w:cs="Arial" w:hAnsi="Arial"/>
                <w:sz w:val="22"/>
              </w:rPr>
              <w:t>-006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场景列表与详情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/api/scenes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/api/scenes/{id}/recipes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收藏增删查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与脚本断言一致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等线" w:ascii="Arial" w:cs="Arial" w:hAnsi="Arial"/>
                <w:sz w:val="22"/>
              </w:rPr>
              <w:t>填写）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管理端仪表盘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/api/admin/dashboard</w:t>
            </w:r>
            <w:r>
              <w:rPr>
                <w:rFonts w:eastAsia="等线" w:ascii="Arial" w:cs="Arial" w:hAnsi="Arial"/>
                <w:sz w:val="22"/>
              </w:rPr>
              <w:t xml:space="preserve"> 需管理员权限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前端核心页面手工冒烟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登录、日历</w:t>
            </w:r>
            <w:r>
              <w:rPr>
                <w:rFonts w:eastAsia="等线" w:ascii="Arial" w:cs="Arial" w:hAnsi="Arial"/>
                <w:sz w:val="22"/>
              </w:rPr>
              <w:t>、推荐、场景无阻塞错误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6.4 验收标准（建议）</w:t>
      </w:r>
      <w:bookmarkEnd w:id="2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 xml:space="preserve">：PRD 约定范围内核心流程可用（允许已备案的已知轻微缺陷清单）。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</w:t>
      </w:r>
      <w:r>
        <w:rPr>
          <w:rFonts w:eastAsia="等线" w:ascii="Arial" w:cs="Arial" w:hAnsi="Arial"/>
          <w:sz w:val="22"/>
        </w:rPr>
        <w:t xml:space="preserve">：在约定并发下，核心接口 P95 延迟不高于合同指标（无合同则按演示环境「可接受」主观评估并记录）。 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</w:t>
      </w:r>
      <w:r>
        <w:rPr>
          <w:rFonts w:eastAsia="等线" w:ascii="Arial" w:cs="Arial" w:hAnsi="Arial"/>
          <w:sz w:val="22"/>
        </w:rPr>
        <w:t xml:space="preserve">：无明文生产密钥入库；JWT 与数据库口令可配置；HTTPS 部署按校方规范。 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</w:t>
      </w:r>
      <w:r>
        <w:rPr>
          <w:rFonts w:eastAsia="等线" w:ascii="Arial" w:cs="Arial" w:hAnsi="Arial"/>
          <w:sz w:val="22"/>
        </w:rPr>
        <w:t xml:space="preserve">：README、PRD 修订稿、大模型说明、本交付手册齐全。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源码与构建</w:t>
      </w:r>
      <w:r>
        <w:rPr>
          <w:rFonts w:eastAsia="等线" w:ascii="Arial" w:cs="Arial" w:hAnsi="Arial"/>
          <w:sz w:val="22"/>
        </w:rPr>
        <w:t>：可自举完成构建与部署。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6.5 验收结论（双方确认）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验收结论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□ 通过　□ 有条件通过（附整改清单）　□ </w:t>
            </w:r>
            <w:r>
              <w:rPr>
                <w:rFonts w:eastAsia="等线" w:ascii="Arial" w:cs="Arial" w:hAnsi="Arial"/>
                <w:sz w:val="22"/>
              </w:rPr>
              <w:t>不通过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遗留问题摘要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整改</w:t>
            </w:r>
            <w:r>
              <w:rPr>
                <w:rFonts w:eastAsia="等线" w:ascii="Arial" w:cs="Arial" w:hAnsi="Arial"/>
                <w:sz w:val="22"/>
              </w:rPr>
              <w:t>计划与完成时限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（填写）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甲方签字</w:t>
      </w:r>
      <w:r>
        <w:rPr>
          <w:rFonts w:eastAsia="等线" w:ascii="Arial" w:cs="Arial" w:hAnsi="Arial"/>
          <w:sz w:val="22"/>
        </w:rPr>
        <w:t xml:space="preserve">：________________　日期：________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乙方签字</w:t>
      </w:r>
      <w:r>
        <w:rPr>
          <w:rFonts w:eastAsia="等线" w:ascii="Arial" w:cs="Arial" w:hAnsi="Arial"/>
          <w:sz w:val="22"/>
        </w:rPr>
        <w:t>：________________　日期：________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7. 项目总结与后评价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7.1 项目成效</w:t>
      </w:r>
      <w:bookmarkEnd w:id="3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形成「</w:t>
      </w:r>
      <w:r>
        <w:rPr>
          <w:rFonts w:eastAsia="等线" w:ascii="Arial" w:cs="Arial" w:hAnsi="Arial"/>
          <w:b w:val="true"/>
          <w:sz w:val="22"/>
        </w:rPr>
        <w:t>人（用户状态）—货（周历/档案）—场（场景）</w:t>
      </w:r>
      <w:r>
        <w:rPr>
          <w:rFonts w:eastAsia="等线" w:ascii="Arial" w:cs="Arial" w:hAnsi="Arial"/>
          <w:sz w:val="22"/>
        </w:rPr>
        <w:t xml:space="preserve">」三层对齐的产品结构，并以工程方式落实为可运行系统。 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通过规则与数据真源约束 AI 输出边界，降低「推荐与实物不一致」的舆情风险。 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交付自动化联调脚本与多份说明文档，便于后续持续集成扩展。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7.2 存在问题与风险（示例，请按实际修订）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启动期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sql.init</w:t>
            </w:r>
            <w:r>
              <w:rPr>
                <w:rFonts w:eastAsia="等线" w:ascii="Arial" w:cs="Arial" w:hAnsi="Arial"/>
                <w:sz w:val="22"/>
              </w:rPr>
              <w:t xml:space="preserve"> 与种子数据不适合直接用于生产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引入迁移工具、分环境配置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JWT 密钥、数据源口令仅为开发便利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强制环境变量与密钥管理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大模型网关单点、延迟波动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超时、重试</w:t>
            </w:r>
            <w:r>
              <w:rPr>
                <w:rFonts w:eastAsia="等线" w:ascii="Arial" w:cs="Arial" w:hAnsi="Arial"/>
                <w:sz w:val="22"/>
              </w:rPr>
              <w:t>、熔断与 mock 降级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食疗表述边界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文案审校、法务与校医院顾问参与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7.3 经验教训</w:t>
      </w:r>
      <w:bookmarkEnd w:id="34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先冻结供给模型</w:t>
      </w:r>
      <w:r>
        <w:rPr>
          <w:rFonts w:eastAsia="等线" w:ascii="Arial" w:cs="Arial" w:hAnsi="Arial"/>
          <w:sz w:val="22"/>
        </w:rPr>
        <w:t>：周历与 SKU 模型越早与后勤对齐，返工越少。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早测</w:t>
      </w:r>
      <w:r>
        <w:rPr>
          <w:rFonts w:eastAsia="等线" w:ascii="Arial" w:cs="Arial" w:hAnsi="Arial"/>
          <w:sz w:val="22"/>
        </w:rPr>
        <w:t>：内网 DNS、证书与超时在生产前应用真实流量压测，提前排查网关连接、响应延迟等问题，避免上线后因依赖异常影响核心功能使用。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验收用例合同化</w:t>
      </w:r>
      <w:r>
        <w:rPr>
          <w:rFonts w:eastAsia="等线" w:ascii="Arial" w:cs="Arial" w:hAnsi="Arial"/>
          <w:sz w:val="22"/>
        </w:rPr>
        <w:t xml:space="preserve">：将 </w:t>
      </w:r>
      <w:r>
        <w:rPr>
          <w:rFonts w:eastAsia="Consolas" w:ascii="Consolas" w:cs="Consolas" w:hAnsi="Consolas"/>
          <w:sz w:val="22"/>
          <w:shd w:fill="EFF0F1"/>
        </w:rPr>
        <w:t>test_integration.py</w:t>
      </w:r>
      <w:r>
        <w:rPr>
          <w:rFonts w:eastAsia="等线" w:ascii="Arial" w:cs="Arial" w:hAnsi="Arial"/>
          <w:sz w:val="22"/>
        </w:rPr>
        <w:t xml:space="preserve"> 覆盖范围与 PRD 条款映射，明确核心接口、功能的验收标准，减少验收阶段的争议，提升交付效率。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7.4 后续工作建议（可选）</w:t>
      </w:r>
      <w:bookmarkEnd w:id="35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与学校统一身份认证（SSO）对接，实现学生、管理员账号与校园现有身份体系打通，提升登录便捷性，减少账号管理成本。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新增消息通知功能，涵盖药膳停供提醒、周历发布通知、体质测评结果反馈等场景，提升用户使用体验与信息触达效率。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完善更细粒度权限审计与操作日志，对管理端的菜品维护、用户管理、周历更新等操作进行详细记录，便于后续追溯与安全管控。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推进系统容器化（Docker）部署与 CI/CD 流水线标准化，简化部署流程、降低环境配置差异带来的问题，提升系统迭代与维护效率。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0952">
    <w:lvl>
      <w:numFmt w:val="bullet"/>
      <w:suff w:val="tab"/>
      <w:lvlText w:val="•"/>
      <w:rPr>
        <w:color w:val="3370ff"/>
      </w:rPr>
    </w:lvl>
  </w:abstractNum>
  <w:abstractNum w:abstractNumId="280953">
    <w:lvl>
      <w:numFmt w:val="bullet"/>
      <w:suff w:val="tab"/>
      <w:lvlText w:val="•"/>
      <w:rPr>
        <w:color w:val="3370ff"/>
      </w:rPr>
    </w:lvl>
  </w:abstractNum>
  <w:abstractNum w:abstractNumId="280954">
    <w:lvl>
      <w:numFmt w:val="bullet"/>
      <w:suff w:val="tab"/>
      <w:lvlText w:val="•"/>
      <w:rPr>
        <w:color w:val="3370ff"/>
      </w:rPr>
    </w:lvl>
  </w:abstractNum>
  <w:abstractNum w:abstractNumId="280955">
    <w:lvl>
      <w:numFmt w:val="bullet"/>
      <w:suff w:val="tab"/>
      <w:lvlText w:val="•"/>
      <w:rPr>
        <w:color w:val="3370ff"/>
      </w:rPr>
    </w:lvl>
  </w:abstractNum>
  <w:abstractNum w:abstractNumId="280956">
    <w:lvl>
      <w:numFmt w:val="bullet"/>
      <w:suff w:val="tab"/>
      <w:lvlText w:val="•"/>
      <w:rPr>
        <w:color w:val="3370ff"/>
      </w:rPr>
    </w:lvl>
  </w:abstractNum>
  <w:abstractNum w:abstractNumId="280957">
    <w:lvl>
      <w:start w:val="1"/>
      <w:numFmt w:val="decimal"/>
      <w:suff w:val="tab"/>
      <w:lvlText w:val="%1."/>
      <w:rPr>
        <w:color w:val="3370ff"/>
      </w:rPr>
    </w:lvl>
  </w:abstractNum>
  <w:abstractNum w:abstractNumId="280958">
    <w:lvl>
      <w:start w:val="2"/>
      <w:numFmt w:val="decimal"/>
      <w:suff w:val="tab"/>
      <w:lvlText w:val="%1."/>
      <w:rPr>
        <w:color w:val="3370ff"/>
      </w:rPr>
    </w:lvl>
  </w:abstractNum>
  <w:abstractNum w:abstractNumId="280959">
    <w:lvl>
      <w:start w:val="3"/>
      <w:numFmt w:val="decimal"/>
      <w:suff w:val="tab"/>
      <w:lvlText w:val="%1."/>
      <w:rPr>
        <w:color w:val="3370ff"/>
      </w:rPr>
    </w:lvl>
  </w:abstractNum>
  <w:abstractNum w:abstractNumId="280960">
    <w:lvl>
      <w:start w:val="4"/>
      <w:numFmt w:val="decimal"/>
      <w:suff w:val="tab"/>
      <w:lvlText w:val="%1."/>
      <w:rPr>
        <w:color w:val="3370ff"/>
      </w:rPr>
    </w:lvl>
  </w:abstractNum>
  <w:abstractNum w:abstractNumId="280961">
    <w:lvl>
      <w:numFmt w:val="bullet"/>
      <w:suff w:val="tab"/>
      <w:lvlText w:val="•"/>
      <w:rPr>
        <w:color w:val="3370ff"/>
      </w:rPr>
    </w:lvl>
  </w:abstractNum>
  <w:abstractNum w:abstractNumId="280962">
    <w:lvl>
      <w:numFmt w:val="bullet"/>
      <w:suff w:val="tab"/>
      <w:lvlText w:val="•"/>
      <w:rPr>
        <w:color w:val="3370ff"/>
      </w:rPr>
    </w:lvl>
  </w:abstractNum>
  <w:abstractNum w:abstractNumId="280963">
    <w:lvl>
      <w:numFmt w:val="bullet"/>
      <w:suff w:val="tab"/>
      <w:lvlText w:val="•"/>
      <w:rPr>
        <w:color w:val="3370ff"/>
      </w:rPr>
    </w:lvl>
  </w:abstractNum>
  <w:abstractNum w:abstractNumId="280964">
    <w:lvl>
      <w:start w:val="1"/>
      <w:numFmt w:val="decimal"/>
      <w:suff w:val="tab"/>
      <w:lvlText w:val="%1."/>
      <w:rPr>
        <w:color w:val="3370ff"/>
      </w:rPr>
    </w:lvl>
  </w:abstractNum>
  <w:abstractNum w:abstractNumId="280965">
    <w:lvl>
      <w:start w:val="2"/>
      <w:numFmt w:val="decimal"/>
      <w:suff w:val="tab"/>
      <w:lvlText w:val="%1."/>
      <w:rPr>
        <w:color w:val="3370ff"/>
      </w:rPr>
    </w:lvl>
  </w:abstractNum>
  <w:abstractNum w:abstractNumId="280966">
    <w:lvl>
      <w:start w:val="3"/>
      <w:numFmt w:val="decimal"/>
      <w:suff w:val="tab"/>
      <w:lvlText w:val="%1."/>
      <w:rPr>
        <w:color w:val="3370ff"/>
      </w:rPr>
    </w:lvl>
  </w:abstractNum>
  <w:abstractNum w:abstractNumId="280967">
    <w:lvl>
      <w:start w:val="4"/>
      <w:numFmt w:val="decimal"/>
      <w:suff w:val="tab"/>
      <w:lvlText w:val="%1."/>
      <w:rPr>
        <w:color w:val="3370ff"/>
      </w:rPr>
    </w:lvl>
  </w:abstractNum>
  <w:abstractNum w:abstractNumId="280968">
    <w:lvl>
      <w:start w:val="5"/>
      <w:numFmt w:val="decimal"/>
      <w:suff w:val="tab"/>
      <w:lvlText w:val="%1."/>
      <w:rPr>
        <w:color w:val="3370ff"/>
      </w:rPr>
    </w:lvl>
  </w:abstractNum>
  <w:abstractNum w:abstractNumId="280969">
    <w:lvl>
      <w:numFmt w:val="bullet"/>
      <w:suff w:val="tab"/>
      <w:lvlText w:val="•"/>
      <w:rPr>
        <w:color w:val="3370ff"/>
      </w:rPr>
    </w:lvl>
  </w:abstractNum>
  <w:abstractNum w:abstractNumId="280970">
    <w:lvl>
      <w:numFmt w:val="bullet"/>
      <w:suff w:val="tab"/>
      <w:lvlText w:val="•"/>
      <w:rPr>
        <w:color w:val="3370ff"/>
      </w:rPr>
    </w:lvl>
  </w:abstractNum>
  <w:abstractNum w:abstractNumId="280971">
    <w:lvl>
      <w:numFmt w:val="bullet"/>
      <w:suff w:val="tab"/>
      <w:lvlText w:val="•"/>
      <w:rPr>
        <w:color w:val="3370ff"/>
      </w:rPr>
    </w:lvl>
  </w:abstractNum>
  <w:abstractNum w:abstractNumId="280972">
    <w:lvl>
      <w:numFmt w:val="bullet"/>
      <w:suff w:val="tab"/>
      <w:lvlText w:val="•"/>
      <w:rPr>
        <w:color w:val="3370ff"/>
      </w:rPr>
    </w:lvl>
  </w:abstractNum>
  <w:abstractNum w:abstractNumId="280973">
    <w:lvl>
      <w:start w:val="1"/>
      <w:numFmt w:val="decimal"/>
      <w:suff w:val="tab"/>
      <w:lvlText w:val="%1."/>
      <w:rPr>
        <w:color w:val="3370ff"/>
      </w:rPr>
    </w:lvl>
  </w:abstractNum>
  <w:abstractNum w:abstractNumId="280974">
    <w:lvl>
      <w:start w:val="2"/>
      <w:numFmt w:val="decimal"/>
      <w:suff w:val="tab"/>
      <w:lvlText w:val="%1."/>
      <w:rPr>
        <w:color w:val="3370ff"/>
      </w:rPr>
    </w:lvl>
  </w:abstractNum>
  <w:abstractNum w:abstractNumId="280975">
    <w:lvl>
      <w:start w:val="3"/>
      <w:numFmt w:val="decimal"/>
      <w:suff w:val="tab"/>
      <w:lvlText w:val="%1."/>
      <w:rPr>
        <w:color w:val="3370ff"/>
      </w:rPr>
    </w:lvl>
  </w:abstractNum>
  <w:abstractNum w:abstractNumId="280976">
    <w:lvl>
      <w:start w:val="4"/>
      <w:numFmt w:val="decimal"/>
      <w:suff w:val="tab"/>
      <w:lvlText w:val="%1."/>
      <w:rPr>
        <w:color w:val="3370ff"/>
      </w:rPr>
    </w:lvl>
  </w:abstractNum>
  <w:abstractNum w:abstractNumId="280977">
    <w:lvl>
      <w:numFmt w:val="bullet"/>
      <w:suff w:val="tab"/>
      <w:lvlText w:val="•"/>
      <w:rPr>
        <w:color w:val="3370ff"/>
      </w:rPr>
    </w:lvl>
  </w:abstractNum>
  <w:abstractNum w:abstractNumId="280978">
    <w:lvl>
      <w:numFmt w:val="bullet"/>
      <w:suff w:val="tab"/>
      <w:lvlText w:val="•"/>
      <w:rPr>
        <w:color w:val="3370ff"/>
      </w:rPr>
    </w:lvl>
  </w:abstractNum>
  <w:abstractNum w:abstractNumId="280979">
    <w:lvl>
      <w:numFmt w:val="bullet"/>
      <w:suff w:val="tab"/>
      <w:lvlText w:val="•"/>
      <w:rPr>
        <w:color w:val="3370ff"/>
      </w:rPr>
    </w:lvl>
  </w:abstractNum>
  <w:abstractNum w:abstractNumId="280980">
    <w:lvl>
      <w:numFmt w:val="bullet"/>
      <w:suff w:val="tab"/>
      <w:lvlText w:val="•"/>
      <w:rPr>
        <w:color w:val="3370ff"/>
      </w:rPr>
    </w:lvl>
  </w:abstractNum>
  <w:abstractNum w:abstractNumId="280981">
    <w:lvl>
      <w:start w:val="1"/>
      <w:numFmt w:val="decimal"/>
      <w:suff w:val="tab"/>
      <w:lvlText w:val="%1."/>
      <w:rPr>
        <w:color w:val="3370ff"/>
      </w:rPr>
    </w:lvl>
  </w:abstractNum>
  <w:abstractNum w:abstractNumId="280982">
    <w:lvl>
      <w:start w:val="2"/>
      <w:numFmt w:val="decimal"/>
      <w:suff w:val="tab"/>
      <w:lvlText w:val="%1."/>
      <w:rPr>
        <w:color w:val="3370ff"/>
      </w:rPr>
    </w:lvl>
  </w:abstractNum>
  <w:abstractNum w:abstractNumId="280983">
    <w:lvl>
      <w:start w:val="3"/>
      <w:numFmt w:val="decimal"/>
      <w:suff w:val="tab"/>
      <w:lvlText w:val="%1."/>
      <w:rPr>
        <w:color w:val="3370ff"/>
      </w:rPr>
    </w:lvl>
  </w:abstractNum>
  <w:abstractNum w:abstractNumId="280984">
    <w:lvl>
      <w:numFmt w:val="bullet"/>
      <w:suff w:val="tab"/>
      <w:lvlText w:val="•"/>
      <w:rPr>
        <w:color w:val="3370ff"/>
      </w:rPr>
    </w:lvl>
  </w:abstractNum>
  <w:abstractNum w:abstractNumId="280985">
    <w:lvl>
      <w:numFmt w:val="bullet"/>
      <w:suff w:val="tab"/>
      <w:lvlText w:val="•"/>
      <w:rPr>
        <w:color w:val="3370ff"/>
      </w:rPr>
    </w:lvl>
  </w:abstractNum>
  <w:abstractNum w:abstractNumId="280986">
    <w:lvl>
      <w:numFmt w:val="bullet"/>
      <w:suff w:val="tab"/>
      <w:lvlText w:val="•"/>
      <w:rPr>
        <w:color w:val="3370ff"/>
      </w:rPr>
    </w:lvl>
  </w:abstractNum>
  <w:abstractNum w:abstractNumId="280987">
    <w:lvl>
      <w:start w:val="1"/>
      <w:numFmt w:val="decimal"/>
      <w:suff w:val="tab"/>
      <w:lvlText w:val="%1."/>
      <w:rPr>
        <w:color w:val="3370ff"/>
      </w:rPr>
    </w:lvl>
  </w:abstractNum>
  <w:abstractNum w:abstractNumId="280988">
    <w:lvl>
      <w:start w:val="2"/>
      <w:numFmt w:val="decimal"/>
      <w:suff w:val="tab"/>
      <w:lvlText w:val="%1."/>
      <w:rPr>
        <w:color w:val="3370ff"/>
      </w:rPr>
    </w:lvl>
  </w:abstractNum>
  <w:abstractNum w:abstractNumId="280989">
    <w:lvl>
      <w:start w:val="3"/>
      <w:numFmt w:val="decimal"/>
      <w:suff w:val="tab"/>
      <w:lvlText w:val="%1."/>
      <w:rPr>
        <w:color w:val="3370ff"/>
      </w:rPr>
    </w:lvl>
  </w:abstractNum>
  <w:abstractNum w:abstractNumId="280990">
    <w:lvl>
      <w:start w:val="4"/>
      <w:numFmt w:val="decimal"/>
      <w:suff w:val="tab"/>
      <w:lvlText w:val="%1."/>
      <w:rPr>
        <w:color w:val="3370ff"/>
      </w:rPr>
    </w:lvl>
  </w:abstractNum>
  <w:abstractNum w:abstractNumId="280991">
    <w:lvl>
      <w:start w:val="5"/>
      <w:numFmt w:val="decimal"/>
      <w:suff w:val="tab"/>
      <w:lvlText w:val="%1."/>
      <w:rPr>
        <w:color w:val="3370ff"/>
      </w:rPr>
    </w:lvl>
  </w:abstractNum>
  <w:abstractNum w:abstractNumId="280992">
    <w:lvl>
      <w:numFmt w:val="bullet"/>
      <w:suff w:val="tab"/>
      <w:lvlText w:val="•"/>
      <w:rPr>
        <w:color w:val="3370ff"/>
      </w:rPr>
    </w:lvl>
  </w:abstractNum>
  <w:abstractNum w:abstractNumId="280993">
    <w:lvl>
      <w:numFmt w:val="bullet"/>
      <w:suff w:val="tab"/>
      <w:lvlText w:val="•"/>
      <w:rPr>
        <w:color w:val="3370ff"/>
      </w:rPr>
    </w:lvl>
  </w:abstractNum>
  <w:abstractNum w:abstractNumId="280994">
    <w:lvl>
      <w:numFmt w:val="bullet"/>
      <w:suff w:val="tab"/>
      <w:lvlText w:val="•"/>
      <w:rPr>
        <w:color w:val="3370ff"/>
      </w:rPr>
    </w:lvl>
  </w:abstractNum>
  <w:abstractNum w:abstractNumId="280995">
    <w:lvl>
      <w:start w:val="1"/>
      <w:numFmt w:val="decimal"/>
      <w:suff w:val="tab"/>
      <w:lvlText w:val="%1."/>
      <w:rPr>
        <w:color w:val="3370ff"/>
      </w:rPr>
    </w:lvl>
  </w:abstractNum>
  <w:abstractNum w:abstractNumId="280996">
    <w:lvl>
      <w:start w:val="2"/>
      <w:numFmt w:val="decimal"/>
      <w:suff w:val="tab"/>
      <w:lvlText w:val="%1."/>
      <w:rPr>
        <w:color w:val="3370ff"/>
      </w:rPr>
    </w:lvl>
  </w:abstractNum>
  <w:abstractNum w:abstractNumId="280997">
    <w:lvl>
      <w:start w:val="3"/>
      <w:numFmt w:val="decimal"/>
      <w:suff w:val="tab"/>
      <w:lvlText w:val="%1."/>
      <w:rPr>
        <w:color w:val="3370ff"/>
      </w:rPr>
    </w:lvl>
  </w:abstractNum>
  <w:abstractNum w:abstractNumId="280998">
    <w:lvl>
      <w:numFmt w:val="bullet"/>
      <w:suff w:val="tab"/>
      <w:lvlText w:val="•"/>
      <w:rPr>
        <w:color w:val="3370ff"/>
      </w:rPr>
    </w:lvl>
  </w:abstractNum>
  <w:abstractNum w:abstractNumId="280999">
    <w:lvl>
      <w:numFmt w:val="bullet"/>
      <w:suff w:val="tab"/>
      <w:lvlText w:val="•"/>
      <w:rPr>
        <w:color w:val="3370ff"/>
      </w:rPr>
    </w:lvl>
  </w:abstractNum>
  <w:abstractNum w:abstractNumId="281000">
    <w:lvl>
      <w:numFmt w:val="bullet"/>
      <w:suff w:val="tab"/>
      <w:lvlText w:val="•"/>
      <w:rPr>
        <w:color w:val="3370ff"/>
      </w:rPr>
    </w:lvl>
  </w:abstractNum>
  <w:abstractNum w:abstractNumId="281001">
    <w:lvl>
      <w:numFmt w:val="bullet"/>
      <w:suff w:val="tab"/>
      <w:lvlText w:val="•"/>
      <w:rPr>
        <w:color w:val="3370ff"/>
      </w:rPr>
    </w:lvl>
  </w:abstractNum>
  <w:num w:numId="1">
    <w:abstractNumId w:val="280952"/>
  </w:num>
  <w:num w:numId="2">
    <w:abstractNumId w:val="280953"/>
  </w:num>
  <w:num w:numId="3">
    <w:abstractNumId w:val="280954"/>
  </w:num>
  <w:num w:numId="4">
    <w:abstractNumId w:val="280955"/>
  </w:num>
  <w:num w:numId="5">
    <w:abstractNumId w:val="280956"/>
  </w:num>
  <w:num w:numId="6">
    <w:abstractNumId w:val="280957"/>
  </w:num>
  <w:num w:numId="7">
    <w:abstractNumId w:val="280958"/>
  </w:num>
  <w:num w:numId="8">
    <w:abstractNumId w:val="280959"/>
  </w:num>
  <w:num w:numId="9">
    <w:abstractNumId w:val="280960"/>
  </w:num>
  <w:num w:numId="10">
    <w:abstractNumId w:val="280961"/>
  </w:num>
  <w:num w:numId="11">
    <w:abstractNumId w:val="280962"/>
  </w:num>
  <w:num w:numId="12">
    <w:abstractNumId w:val="280963"/>
  </w:num>
  <w:num w:numId="13">
    <w:abstractNumId w:val="280964"/>
  </w:num>
  <w:num w:numId="14">
    <w:abstractNumId w:val="280965"/>
  </w:num>
  <w:num w:numId="15">
    <w:abstractNumId w:val="280966"/>
  </w:num>
  <w:num w:numId="16">
    <w:abstractNumId w:val="280967"/>
  </w:num>
  <w:num w:numId="17">
    <w:abstractNumId w:val="280968"/>
  </w:num>
  <w:num w:numId="18">
    <w:abstractNumId w:val="280969"/>
  </w:num>
  <w:num w:numId="19">
    <w:abstractNumId w:val="280970"/>
  </w:num>
  <w:num w:numId="20">
    <w:abstractNumId w:val="280971"/>
  </w:num>
  <w:num w:numId="21">
    <w:abstractNumId w:val="280972"/>
  </w:num>
  <w:num w:numId="22">
    <w:abstractNumId w:val="280973"/>
  </w:num>
  <w:num w:numId="23">
    <w:abstractNumId w:val="280974"/>
  </w:num>
  <w:num w:numId="24">
    <w:abstractNumId w:val="280975"/>
  </w:num>
  <w:num w:numId="25">
    <w:abstractNumId w:val="280976"/>
  </w:num>
  <w:num w:numId="26">
    <w:abstractNumId w:val="280977"/>
  </w:num>
  <w:num w:numId="27">
    <w:abstractNumId w:val="280978"/>
  </w:num>
  <w:num w:numId="28">
    <w:abstractNumId w:val="280979"/>
  </w:num>
  <w:num w:numId="29">
    <w:abstractNumId w:val="280980"/>
  </w:num>
  <w:num w:numId="30">
    <w:abstractNumId w:val="280981"/>
  </w:num>
  <w:num w:numId="31">
    <w:abstractNumId w:val="280982"/>
  </w:num>
  <w:num w:numId="32">
    <w:abstractNumId w:val="280983"/>
  </w:num>
  <w:num w:numId="33">
    <w:abstractNumId w:val="280984"/>
  </w:num>
  <w:num w:numId="34">
    <w:abstractNumId w:val="280985"/>
  </w:num>
  <w:num w:numId="35">
    <w:abstractNumId w:val="280986"/>
  </w:num>
  <w:num w:numId="36">
    <w:abstractNumId w:val="280987"/>
  </w:num>
  <w:num w:numId="37">
    <w:abstractNumId w:val="280988"/>
  </w:num>
  <w:num w:numId="38">
    <w:abstractNumId w:val="280989"/>
  </w:num>
  <w:num w:numId="39">
    <w:abstractNumId w:val="280990"/>
  </w:num>
  <w:num w:numId="40">
    <w:abstractNumId w:val="280991"/>
  </w:num>
  <w:num w:numId="41">
    <w:abstractNumId w:val="280992"/>
  </w:num>
  <w:num w:numId="42">
    <w:abstractNumId w:val="280993"/>
  </w:num>
  <w:num w:numId="43">
    <w:abstractNumId w:val="280994"/>
  </w:num>
  <w:num w:numId="44">
    <w:abstractNumId w:val="280995"/>
  </w:num>
  <w:num w:numId="45">
    <w:abstractNumId w:val="280996"/>
  </w:num>
  <w:num w:numId="46">
    <w:abstractNumId w:val="280997"/>
  </w:num>
  <w:num w:numId="47">
    <w:abstractNumId w:val="280998"/>
  </w:num>
  <w:num w:numId="48">
    <w:abstractNumId w:val="280999"/>
  </w:num>
  <w:num w:numId="49">
    <w:abstractNumId w:val="281000"/>
  </w:num>
  <w:num w:numId="50">
    <w:abstractNumId w:val="2810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2026-04-12T11:48:27Z</dcterms:created>
  <dc:creator>Apache POI</dc:creator>
</cp:coreProperties>
</file>