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灰色关联分析论文步骤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数据全部化成极大型数据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数据标准化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计算灰色关联系数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计算灰色关联度</w:t>
      </w:r>
    </w:p>
    <w:p>
      <w:r>
        <w:drawing>
          <wp:inline distT="0" distB="0" distL="114300" distR="114300">
            <wp:extent cx="4335780" cy="5737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46011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86334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D49D9"/>
    <w:multiLevelType w:val="singleLevel"/>
    <w:tmpl w:val="F1DD49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Y2NiMTFmYTI5ODJhYmZlZDBiZmU5NWY0MDJlOTgifQ=="/>
  </w:docVars>
  <w:rsids>
    <w:rsidRoot w:val="07251AE4"/>
    <w:rsid w:val="0725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2024-01-26T04:14:00Z</dcterms:created>
  <dc:creator>白瑞</dc:creator>
  <cp:lastModifiedBy>白瑞</cp:lastModifiedBy>
  <dcterms:modified xsi:type="dcterms:W3CDTF">2024-01-26T04:17:57Z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CC41A96755304021A9292EF6AAD1524A_11</vt:lpwstr>
  </property>
</Properties>
</file>