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Changing permissions to forward email from </w:t>
      </w:r>
      <w:hyperlink r:id="rId6">
        <w:r w:rsidDel="00000000" w:rsidR="00000000" w:rsidRPr="00000000">
          <w:rPr>
            <w:color w:val="1155cc"/>
            <w:u w:val="single"/>
            <w:rtl w:val="0"/>
          </w:rPr>
          <w:t xml:space="preserve">dataupload_fgc@glimpsemarkets.com</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630" w:hanging="360"/>
        <w:rPr>
          <w:u w:val="none"/>
        </w:rPr>
      </w:pPr>
      <w:r w:rsidDel="00000000" w:rsidR="00000000" w:rsidRPr="00000000">
        <w:rPr>
          <w:rtl w:val="0"/>
        </w:rPr>
        <w:t xml:space="preserve">Go to www.office.com and log into the tenant which hosts the email address that we want to forward mail from. (do not log into the destination email address tenant)</w:t>
      </w:r>
    </w:p>
    <w:p w:rsidR="00000000" w:rsidDel="00000000" w:rsidP="00000000" w:rsidRDefault="00000000" w:rsidRPr="00000000" w14:paraId="00000004">
      <w:pPr>
        <w:numPr>
          <w:ilvl w:val="0"/>
          <w:numId w:val="1"/>
        </w:numPr>
        <w:ind w:left="-630" w:hanging="360"/>
        <w:rPr>
          <w:u w:val="none"/>
        </w:rPr>
      </w:pPr>
      <w:r w:rsidDel="00000000" w:rsidR="00000000" w:rsidRPr="00000000">
        <w:rPr>
          <w:rtl w:val="0"/>
        </w:rPr>
        <w:t xml:space="preserve">Open the </w:t>
      </w:r>
      <w:r w:rsidDel="00000000" w:rsidR="00000000" w:rsidRPr="00000000">
        <w:rPr>
          <w:b w:val="1"/>
          <w:rtl w:val="0"/>
        </w:rPr>
        <w:t xml:space="preserve">Admin Center</w:t>
      </w:r>
    </w:p>
    <w:p w:rsidR="00000000" w:rsidDel="00000000" w:rsidP="00000000" w:rsidRDefault="00000000" w:rsidRPr="00000000" w14:paraId="00000005">
      <w:pPr>
        <w:numPr>
          <w:ilvl w:val="0"/>
          <w:numId w:val="1"/>
        </w:numPr>
        <w:ind w:left="-630" w:hanging="360"/>
        <w:rPr/>
      </w:pPr>
      <w:r w:rsidDel="00000000" w:rsidR="00000000" w:rsidRPr="00000000">
        <w:rPr>
          <w:rtl w:val="0"/>
        </w:rPr>
        <w:t xml:space="preserve">Next, click </w:t>
      </w:r>
      <w:r w:rsidDel="00000000" w:rsidR="00000000" w:rsidRPr="00000000">
        <w:rPr>
          <w:b w:val="1"/>
          <w:rtl w:val="0"/>
        </w:rPr>
        <w:t xml:space="preserve">Show All (admin centers)</w:t>
      </w:r>
      <w:r w:rsidDel="00000000" w:rsidR="00000000" w:rsidRPr="00000000">
        <w:rPr>
          <w:rtl w:val="0"/>
        </w:rPr>
        <w:t xml:space="preserve"> and then click </w:t>
      </w:r>
      <w:r w:rsidDel="00000000" w:rsidR="00000000" w:rsidRPr="00000000">
        <w:rPr>
          <w:b w:val="1"/>
          <w:rtl w:val="0"/>
        </w:rPr>
        <w:t xml:space="preserve">Security</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drawing>
          <wp:inline distB="114300" distT="114300" distL="114300" distR="114300">
            <wp:extent cx="2757488" cy="237778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57488" cy="237778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1"/>
        </w:numPr>
        <w:ind w:left="-630" w:hanging="360"/>
        <w:rPr>
          <w:u w:val="none"/>
        </w:rPr>
      </w:pPr>
      <w:r w:rsidDel="00000000" w:rsidR="00000000" w:rsidRPr="00000000">
        <w:rPr>
          <w:rtl w:val="0"/>
        </w:rPr>
        <w:t xml:space="preserve">Next, in the Security / Microsoft 365 Defender Admin Center, under Email &amp; Collaboration, click on </w:t>
      </w:r>
      <w:r w:rsidDel="00000000" w:rsidR="00000000" w:rsidRPr="00000000">
        <w:rPr>
          <w:b w:val="1"/>
          <w:rtl w:val="0"/>
        </w:rPr>
        <w:t xml:space="preserve">Policies &amp; rules</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drawing>
          <wp:inline distB="114300" distT="114300" distL="114300" distR="114300">
            <wp:extent cx="2738438" cy="215265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38438"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1"/>
        </w:numPr>
        <w:ind w:left="-630" w:hanging="360"/>
        <w:rPr>
          <w:u w:val="none"/>
        </w:rPr>
      </w:pPr>
      <w:r w:rsidDel="00000000" w:rsidR="00000000" w:rsidRPr="00000000">
        <w:rPr>
          <w:rtl w:val="0"/>
        </w:rPr>
        <w:t xml:space="preserve">Here, click on </w:t>
      </w:r>
      <w:r w:rsidDel="00000000" w:rsidR="00000000" w:rsidRPr="00000000">
        <w:rPr>
          <w:b w:val="1"/>
          <w:rtl w:val="0"/>
        </w:rPr>
        <w:t xml:space="preserve">Threat Policies</w:t>
      </w:r>
    </w:p>
    <w:p w:rsidR="00000000" w:rsidDel="00000000" w:rsidP="00000000" w:rsidRDefault="00000000" w:rsidRPr="00000000" w14:paraId="0000000A">
      <w:pPr>
        <w:rPr/>
      </w:pPr>
      <w:r w:rsidDel="00000000" w:rsidR="00000000" w:rsidRPr="00000000">
        <w:rPr/>
        <w:drawing>
          <wp:inline distB="114300" distT="114300" distL="114300" distR="114300">
            <wp:extent cx="2533650" cy="1730398"/>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533650" cy="173039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ind w:left="-630" w:hanging="360"/>
        <w:rPr/>
      </w:pPr>
      <w:r w:rsidDel="00000000" w:rsidR="00000000" w:rsidRPr="00000000">
        <w:rPr>
          <w:rtl w:val="0"/>
        </w:rPr>
        <w:t xml:space="preserve">Under Threat policies, click Anti-Spam.</w:t>
      </w:r>
    </w:p>
    <w:p w:rsidR="00000000" w:rsidDel="00000000" w:rsidP="00000000" w:rsidRDefault="00000000" w:rsidRPr="00000000" w14:paraId="0000000C">
      <w:pPr>
        <w:rPr/>
      </w:pPr>
      <w:r w:rsidDel="00000000" w:rsidR="00000000" w:rsidRPr="00000000">
        <w:rPr/>
        <w:drawing>
          <wp:inline distB="114300" distT="114300" distL="114300" distR="114300">
            <wp:extent cx="2902141" cy="174407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902141" cy="17440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1"/>
        </w:numPr>
        <w:ind w:left="-630" w:hanging="360"/>
        <w:rPr>
          <w:u w:val="none"/>
        </w:rPr>
      </w:pPr>
      <w:r w:rsidDel="00000000" w:rsidR="00000000" w:rsidRPr="00000000">
        <w:rPr>
          <w:rtl w:val="0"/>
        </w:rPr>
        <w:t xml:space="preserve">Under the Default </w:t>
      </w:r>
      <w:r w:rsidDel="00000000" w:rsidR="00000000" w:rsidRPr="00000000">
        <w:rPr>
          <w:b w:val="1"/>
          <w:rtl w:val="0"/>
        </w:rPr>
        <w:t xml:space="preserve">Anti-Spam</w:t>
      </w:r>
      <w:r w:rsidDel="00000000" w:rsidR="00000000" w:rsidRPr="00000000">
        <w:rPr>
          <w:rtl w:val="0"/>
        </w:rPr>
        <w:t xml:space="preserve"> outbound policy (Default) we will probably find </w:t>
      </w:r>
      <w:r w:rsidDel="00000000" w:rsidR="00000000" w:rsidRPr="00000000">
        <w:rPr>
          <w:b w:val="1"/>
          <w:rtl w:val="0"/>
        </w:rPr>
        <w:t xml:space="preserve">Automatic Forwarding</w:t>
      </w:r>
      <w:r w:rsidDel="00000000" w:rsidR="00000000" w:rsidRPr="00000000">
        <w:rPr>
          <w:rtl w:val="0"/>
        </w:rPr>
        <w:t xml:space="preserve"> is set to </w:t>
      </w:r>
      <w:r w:rsidDel="00000000" w:rsidR="00000000" w:rsidRPr="00000000">
        <w:rPr>
          <w:b w:val="1"/>
          <w:rtl w:val="0"/>
        </w:rPr>
        <w:t xml:space="preserve">Automatic – System-Controlled</w:t>
      </w:r>
    </w:p>
    <w:p w:rsidR="00000000" w:rsidDel="00000000" w:rsidP="00000000" w:rsidRDefault="00000000" w:rsidRPr="00000000" w14:paraId="0000000E">
      <w:pPr>
        <w:rPr>
          <w:b w:val="1"/>
        </w:rPr>
      </w:pPr>
      <w:r w:rsidDel="00000000" w:rsidR="00000000" w:rsidRPr="00000000">
        <w:rPr>
          <w:b w:val="1"/>
        </w:rPr>
        <w:drawing>
          <wp:inline distB="114300" distT="114300" distL="114300" distR="114300">
            <wp:extent cx="2663379" cy="2082899"/>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663379" cy="208289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1"/>
        </w:numPr>
        <w:ind w:left="-630" w:hanging="360"/>
        <w:rPr/>
      </w:pPr>
      <w:r w:rsidDel="00000000" w:rsidR="00000000" w:rsidRPr="00000000">
        <w:rPr>
          <w:rtl w:val="0"/>
        </w:rPr>
        <w:t xml:space="preserve">Close the Default Policy and then at the top of the screen click the + </w:t>
      </w:r>
      <w:r w:rsidDel="00000000" w:rsidR="00000000" w:rsidRPr="00000000">
        <w:rPr>
          <w:b w:val="1"/>
          <w:rtl w:val="0"/>
        </w:rPr>
        <w:t xml:space="preserve">Create Policy</w:t>
      </w:r>
      <w:r w:rsidDel="00000000" w:rsidR="00000000" w:rsidRPr="00000000">
        <w:rPr>
          <w:rtl w:val="0"/>
        </w:rPr>
        <w:t xml:space="preserve"> drop-down and choose </w:t>
      </w:r>
      <w:r w:rsidDel="00000000" w:rsidR="00000000" w:rsidRPr="00000000">
        <w:rPr>
          <w:b w:val="1"/>
          <w:rtl w:val="0"/>
        </w:rPr>
        <w:t xml:space="preserve">Outbound</w:t>
      </w:r>
    </w:p>
    <w:p w:rsidR="00000000" w:rsidDel="00000000" w:rsidP="00000000" w:rsidRDefault="00000000" w:rsidRPr="00000000" w14:paraId="00000010">
      <w:pPr>
        <w:rPr>
          <w:b w:val="1"/>
        </w:rPr>
      </w:pPr>
      <w:r w:rsidDel="00000000" w:rsidR="00000000" w:rsidRPr="00000000">
        <w:rPr>
          <w:b w:val="1"/>
        </w:rPr>
        <w:drawing>
          <wp:inline distB="114300" distT="114300" distL="114300" distR="114300">
            <wp:extent cx="2452688" cy="1851422"/>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452688" cy="185142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numPr>
          <w:ilvl w:val="0"/>
          <w:numId w:val="1"/>
        </w:numPr>
        <w:ind w:left="-630" w:hanging="360"/>
        <w:rPr/>
      </w:pPr>
      <w:r w:rsidDel="00000000" w:rsidR="00000000" w:rsidRPr="00000000">
        <w:rPr>
          <w:rtl w:val="0"/>
        </w:rPr>
        <w:t xml:space="preserve">In the new Outbound policy, edit the description to something like “</w:t>
      </w:r>
      <w:r w:rsidDel="00000000" w:rsidR="00000000" w:rsidRPr="00000000">
        <w:rPr>
          <w:b w:val="1"/>
          <w:rtl w:val="0"/>
        </w:rPr>
        <w:t xml:space="preserve">Custom Outbound Mail Forward</w:t>
      </w:r>
      <w:r w:rsidDel="00000000" w:rsidR="00000000" w:rsidRPr="00000000">
        <w:rPr>
          <w:rtl w:val="0"/>
        </w:rPr>
        <w:t xml:space="preserve">“, and add the Users or Groups to the policy (whom you want to give the ability to forward.)</w:t>
      </w:r>
    </w:p>
    <w:p w:rsidR="00000000" w:rsidDel="00000000" w:rsidP="00000000" w:rsidRDefault="00000000" w:rsidRPr="00000000" w14:paraId="00000018">
      <w:pPr>
        <w:rPr/>
      </w:pPr>
      <w:r w:rsidDel="00000000" w:rsidR="00000000" w:rsidRPr="00000000">
        <w:rPr/>
        <w:drawing>
          <wp:inline distB="114300" distT="114300" distL="114300" distR="114300">
            <wp:extent cx="3033713" cy="1800225"/>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033713"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1"/>
        </w:numPr>
        <w:ind w:left="-630" w:hanging="360"/>
        <w:rPr>
          <w:u w:val="none"/>
        </w:rPr>
      </w:pPr>
      <w:r w:rsidDel="00000000" w:rsidR="00000000" w:rsidRPr="00000000">
        <w:rPr>
          <w:rtl w:val="0"/>
        </w:rPr>
        <w:t xml:space="preserve">At the bottom of the new custom policy change Automatic Forwarding to: </w:t>
      </w:r>
      <w:r w:rsidDel="00000000" w:rsidR="00000000" w:rsidRPr="00000000">
        <w:rPr>
          <w:b w:val="1"/>
          <w:rtl w:val="0"/>
        </w:rPr>
        <w:t xml:space="preserve">On – Forwarding is enabled</w:t>
      </w:r>
    </w:p>
    <w:p w:rsidR="00000000" w:rsidDel="00000000" w:rsidP="00000000" w:rsidRDefault="00000000" w:rsidRPr="00000000" w14:paraId="0000001A">
      <w:pPr>
        <w:rPr/>
      </w:pPr>
      <w:r w:rsidDel="00000000" w:rsidR="00000000" w:rsidRPr="00000000">
        <w:rPr/>
        <w:drawing>
          <wp:inline distB="114300" distT="114300" distL="114300" distR="114300">
            <wp:extent cx="4838700" cy="1933575"/>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83870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1"/>
        </w:numPr>
        <w:ind w:left="-630" w:hanging="360"/>
        <w:rPr/>
      </w:pPr>
      <w:r w:rsidDel="00000000" w:rsidR="00000000" w:rsidRPr="00000000">
        <w:rPr>
          <w:rtl w:val="0"/>
        </w:rPr>
        <w:t xml:space="preserve">Save and close the new policy and that should do it. Try sending some test messages to see if the forward works correctly. We may need to change the new policy’s Priority to 0 if something still isn’t working. Also, don’t forget to double check the Automatic Forwarding on the mailbox itself.</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mailto:dataupload_fgc@glimpsemarkets.com" TargetMode="Externa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