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黑体"/>
          <w:b/>
          <w:sz w:val="44"/>
        </w:rPr>
        <w:t>应用软件综合课程设计 I</w:t>
      </w:r>
    </w:p>
    <w:p>
      <w:pPr>
        <w:jc w:val="center"/>
      </w:pPr>
      <w:r>
        <w:rPr>
          <w:rFonts w:ascii="Times New Roman" w:hAnsi="Times New Roman" w:eastAsia="黑体"/>
          <w:b/>
          <w:sz w:val="40"/>
        </w:rPr>
        <w:t>实验报告——课程综合报告</w:t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项目名称：船舶装备故障诊断系统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551"/>
          </w:tcPr>
          <w:p>
            <w:pPr>
              <w:jc w:val="right"/>
            </w:pPr>
            <w:r>
              <w:rPr>
                <w:rFonts w:ascii="Times New Roman" w:hAnsi="Times New Roman" w:eastAsia="宋体"/>
                <w:b/>
                <w:sz w:val="26"/>
              </w:rPr>
              <w:t>专业年级：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sz w:val="26"/>
              </w:rPr>
              <w:t>软件工程专业 2023 级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rPr>
                <w:rFonts w:ascii="Times New Roman" w:hAnsi="Times New Roman" w:eastAsia="宋体"/>
                <w:b/>
                <w:sz w:val="26"/>
              </w:rPr>
              <w:t>组        号：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sz w:val="26"/>
              </w:rPr>
              <w:t>第 ** 组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rPr>
                <w:rFonts w:ascii="Times New Roman" w:hAnsi="Times New Roman" w:eastAsia="宋体"/>
                <w:b/>
                <w:sz w:val="26"/>
              </w:rPr>
              <w:t>组        长：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sz w:val="26"/>
              </w:rPr>
              <w:t>姓名（学号）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rPr>
                <w:rFonts w:ascii="Times New Roman" w:hAnsi="Times New Roman" w:eastAsia="宋体"/>
                <w:b/>
                <w:sz w:val="26"/>
              </w:rPr>
              <w:t>组        员：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sz w:val="26"/>
              </w:rPr>
              <w:t>姓名（学号）、姓名（学号）、姓名（学号）、姓名（学号）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rPr>
                <w:rFonts w:ascii="Times New Roman" w:hAnsi="Times New Roman" w:eastAsia="宋体"/>
                <w:b/>
                <w:sz w:val="26"/>
              </w:rPr>
              <w:t>指导老师（职称）：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sz w:val="26"/>
              </w:rPr>
              <w:t>韩敏（教授）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rPr>
                <w:rFonts w:ascii="Times New Roman" w:hAnsi="Times New Roman" w:eastAsia="宋体"/>
                <w:b/>
                <w:sz w:val="26"/>
              </w:rPr>
              <w:t>提交日期：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 w:eastAsia="宋体"/>
                <w:sz w:val="26"/>
              </w:rPr>
              <w:t>2026 年 ** 月 ** 日</w:t>
            </w:r>
          </w:p>
        </w:tc>
      </w:tr>
    </w:tbl>
    <w:p/>
    <w:p/>
    <w:p>
      <w:r>
        <w:rPr>
          <w:rFonts w:ascii="Times New Roman" w:hAnsi="Times New Roman" w:eastAsia="宋体"/>
          <w:b w:val="0"/>
          <w:sz w:val="21"/>
        </w:rPr>
        <w:t>说明：本报告电子版命名格式——【组号】+项目名称+组长学号+姓名。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6"/>
        </w:rPr>
        <w:t>目  录</w:t>
      </w:r>
    </w:p>
    <w:p>
      <w:fldSimple w:instr="TOC \o &quot;1-3&quot; \h \z \u">
        <w:r>
          <w:t>右键“更新域”生成目录…</w:t>
        </w:r>
      </w:fldSimple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1、系统概述</w:t>
      </w:r>
    </w:p>
    <w:p>
      <w:pPr>
        <w:pStyle w:val="Heading2"/>
      </w:pPr>
      <w:r>
        <w:rPr>
          <w:rFonts w:ascii="Times New Roman" w:hAnsi="Times New Roman" w:eastAsia="黑体"/>
        </w:rPr>
        <w:t>1.1 系统基本情况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船舶在远洋航行过程中，机舱主辅机、监测报警、液压气动、航行操控等关键设备一旦发生故障，往往处于无外部网络、缺少现场专家支持的环境，而设备技术手册数量庞大、分散且多语言混排，船员难以快速定位故障原因与维修步骤。本系统——“船舶装备故障诊断系统”，面向上述场景，将设备技术手册自动构建为知识图谱，并以 RAG（检索增强生成）+ 知识图谱的方式提供智能问答，支持在线（云端大模型）与离线（全本地）两种模式，可在海上无网络环境下稳定运行。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系统由三大子系统构成：① 知识图谱构建流水线（将手册转化为结构化知识）；② RAG 智能问答后端（双路检索 + 证据融合 + 可信生成）；③ React 前端（对话交互与溯源展示）。总体架构如图 1-1。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62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62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 1-1 系统总体架构</w:t>
      </w:r>
    </w:p>
    <w:p>
      <w:pPr>
        <w:pStyle w:val="Heading2"/>
      </w:pPr>
      <w:r>
        <w:rPr>
          <w:rFonts w:ascii="Times New Roman" w:hAnsi="Times New Roman" w:eastAsia="黑体"/>
        </w:rPr>
        <w:t>1.2 系统问题定义</w:t>
      </w:r>
    </w:p>
    <w:p>
      <w:r>
        <w:rPr>
          <w:rFonts w:ascii="Times New Roman" w:hAnsi="Times New Roman" w:eastAsia="宋体"/>
          <w:b w:val="0"/>
          <w:sz w:val="24"/>
        </w:rPr>
        <w:t>本系统旨在解决以下核心问题：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知识获取难：设备手册为 PDF/HTML/Markdown 混排、含大量噪声与外文，难以直接检索利用。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故障定位慢：故障现象、原因、维修步骤之间的因果逻辑分散在不同章节，纯关键词检索难以串联。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答案不可信：通用大模型易“编造”，现场维修要求答案必须基于手册证据且可溯源。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网络受限：海上无公网，要求 Embedding、重排序、大模型与知识库均可本地离线运行。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2、系统需求分析</w:t>
      </w:r>
    </w:p>
    <w:p>
      <w:pPr>
        <w:pStyle w:val="Heading2"/>
      </w:pPr>
      <w:r>
        <w:rPr>
          <w:rFonts w:ascii="Times New Roman" w:hAnsi="Times New Roman" w:eastAsia="黑体"/>
        </w:rPr>
        <w:t>2.1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907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2041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</w:t>
            </w:r>
          </w:p>
        </w:tc>
        <w:tc>
          <w:tcPr>
            <w:tcW w:type="dxa" w:w="6236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F1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知识图谱构建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语料清洗→切块→三元组抽取→实体合并→数据清洗→标准化→质量校验→导入 Neo4j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F2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混合检索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向量检索(Chroma)+关键词检索(BM25) 融合，含查询改写/分解、父子路由、实体优先、重排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F3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知识图谱检索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从 Neo4j 检索实体与 1~2 跳关系，补充文本检索缺失的逻辑关联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F4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答案生成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证据融合后由大模型生成结构化、可溯源答案；支持在线/离线与多轮对话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F5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前端交互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对话窗口、登录/参数设置、引用溯源、流式输出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F6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本地化部署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向量库/图库/本地模型/配置统一管理，全离线可运行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</w:rPr>
        <w:t>2.2 非功能需求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可离线性：在无公网环境下完整运行（本地模型 + 本地知识库）。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可溯源性：答案附带引用资料（citations）与图谱三元组（kg_triplets）。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准确性：通过混合检索、重排序与“只用证据”提示约束，降低幻觉。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可扩展性：新增设备手册可重跑流水线增量入库；检索参数通过 .env 灵活配置。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易用性：浏览器即可访问，支持流式响应，交互友好。</w:t>
      </w:r>
    </w:p>
    <w:p>
      <w:pPr>
        <w:pStyle w:val="Heading2"/>
      </w:pPr>
      <w:r>
        <w:rPr>
          <w:rFonts w:ascii="Times New Roman" w:hAnsi="Times New Roman" w:eastAsia="黑体"/>
        </w:rPr>
        <w:t>2.3 系统流程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系统包含“离线知识构建”与“在线智能问答”两条主流程。离线流程（图 2-1）将手册批量构建为知识图谱；在线流程（图 2-2）对用户问题完成双路检索、证据融合与答案生成。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276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kg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2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 2-1 知识图谱构建流水线（Step 1~7）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4563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qa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456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 2-2 在线智能问答流程</w:t>
      </w:r>
    </w:p>
    <w:p>
      <w:pPr>
        <w:pStyle w:val="Heading2"/>
      </w:pPr>
      <w:r>
        <w:rPr>
          <w:rFonts w:ascii="Times New Roman" w:hAnsi="Times New Roman" w:eastAsia="黑体"/>
        </w:rPr>
        <w:t>2.4 业务分析</w:t>
      </w:r>
    </w:p>
    <w:p>
      <w:r>
        <w:rPr>
          <w:rFonts w:ascii="Times New Roman" w:hAnsi="Times New Roman" w:eastAsia="宋体"/>
          <w:b w:val="0"/>
          <w:sz w:val="24"/>
        </w:rPr>
        <w:t>主要角色与业务：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现场运维人员（轮机/电气）：提出故障/维修/参数类问题，获取可执行的诊断建议。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知识管理员：维护设备手册语料，触发知识图谱构建与质量校验，审核关键实体。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系统维护者：负责本地部署、模型与数据库运维、检索参数调优与评测（RAGAS）。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3、数据库设计</w:t>
      </w:r>
    </w:p>
    <w:p>
      <w:pPr>
        <w:pStyle w:val="Heading2"/>
      </w:pPr>
      <w:r>
        <w:rPr>
          <w:rFonts w:ascii="Times New Roman" w:hAnsi="Times New Roman" w:eastAsia="黑体"/>
        </w:rPr>
        <w:t>3.1 数据流图分析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系统顶层数据流图如图 3-1。外部实体“运维用户”向过程 P2（检索增强）发起问题，P2 从数据存储 D2(Chroma)/D3(BM25)/D4(Neo4j) 检索证据并传递给 P3（答案生成），最终以 SSE 流式返回用户；过程 P1（知识图谱构建）将“设备手册来源”转化为语料库 D1 并写入向量库与图谱。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012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df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01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 3-1 顶层数据流图（DFD）</w:t>
      </w:r>
    </w:p>
    <w:p>
      <w:pPr>
        <w:pStyle w:val="Heading2"/>
      </w:pPr>
      <w:r>
        <w:rPr>
          <w:rFonts w:ascii="Times New Roman" w:hAnsi="Times New Roman" w:eastAsia="黑体"/>
        </w:rPr>
        <w:t>3.2 实体关系模型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知识图谱以“实体—关系—实体”三元组组织。核心实体类型包括：故障现象、故障原因、维修步骤、零部件、注意事项等；关系类型包括：导致、解决、使用、伴随等，构成可推理的故障因果链（图 3-2）。RAG 侧文档数据满足：一篇文档（Document）切分为多个文本块（Chunk），Chunk 与图谱实体/关系通过 chunk_to_kg 形成多对多映射。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052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05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 3-2 知识图谱实体关系（图模型）</w:t>
      </w:r>
    </w:p>
    <w:p>
      <w:r>
        <w:rPr>
          <w:rFonts w:ascii="Times New Roman" w:hAnsi="Times New Roman" w:eastAsia="宋体"/>
          <w:b w:val="0"/>
          <w:sz w:val="24"/>
        </w:rPr>
        <w:t>实体节点与关系边的字段定义如下：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928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对象</w:t>
            </w:r>
          </w:p>
        </w:tc>
        <w:tc>
          <w:tcPr>
            <w:tcW w:type="dxa" w:w="2268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4876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实体节点 Entity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entity_id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全局唯一编号（如 E001）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实体节点 Entity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entity_type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故障现象 / 故障原因 / 维修步骤 / 零部件 / 注意事项 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实体节点 Entity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entity_name / description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标准化术语名称与详细描述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实体节点 Entity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attributes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所属装备 / 故障等级 / 发生频率 等属性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关系边 Relation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relation_id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全局唯一编号（如 R001）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关系边 Relation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source → target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关联的源/目标 entity_id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关系边 Relation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relation_type / description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导致 / 解决 / 使用 / 伴随 等及描述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</w:rPr>
        <w:t>3.3 数据存储设计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928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存储</w:t>
            </w:r>
          </w:p>
        </w:tc>
        <w:tc>
          <w:tcPr>
            <w:tcW w:type="dxa" w:w="1701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5443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内容 / 关键结构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Chroma 向量库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向量数据库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collection=rag_chunks；元数据 doc_id/source/source_doc_id/chunk_index/heading_context/domain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BM25 索引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内存稀疏索引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文档关键词倒排，对型号/编号精确匹配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Neo4j 图数据库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图数据库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Entity 节点 + RELATION 关系；bolt://localhost:7687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离线 JSON 制品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文件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kg_cache_cleaned.json / kg_merged.json / chunk_to_kg.json / quality_report.json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会话历史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文件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history/{session_id}.json，多轮对话消息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4、系统设计与实现</w:t>
      </w:r>
    </w:p>
    <w:p>
      <w:pPr>
        <w:pStyle w:val="Heading2"/>
      </w:pPr>
      <w:r>
        <w:rPr>
          <w:rFonts w:ascii="Times New Roman" w:hAnsi="Times New Roman" w:eastAsia="黑体"/>
        </w:rPr>
        <w:t>4.1 系统设计目标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以知识图谱 + RAG 双路证据驱动，实现高准确、可溯源的船舶设备故障智能诊断。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在线/离线双模式：联网时调用云端大模型获得高质量答案，断网时全本地运行保障可用。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模块化、可配置、可评测：流水线与检索参数解耦，支持 RAGAS 量化评估与持续优化。</w:t>
      </w:r>
    </w:p>
    <w:p>
      <w:pPr>
        <w:pStyle w:val="Heading2"/>
      </w:pPr>
      <w:r>
        <w:rPr>
          <w:rFonts w:ascii="Times New Roman" w:hAnsi="Times New Roman" w:eastAsia="黑体"/>
        </w:rPr>
        <w:t>4.2 系统选型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type="dxa" w:w="2948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选型</w:t>
            </w:r>
          </w:p>
        </w:tc>
        <w:tc>
          <w:tcPr>
            <w:tcW w:type="dxa" w:w="4422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程序架构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B/S 架构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浏览器前端 + 后端服务，全部组件可部署于船端/岸基内网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开发语言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Python 3.10 / JavaScript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后端与流水线用 Python，前端用 JS(React)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操作系统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Windows / Linux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跨平台运行，支持 CUDA GPU 加速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后端框架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FastAPI + LangChain + LangGraph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接口服务、检索编排与图谱构建工作流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前端框架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React + Vite + Tailwind CSS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单页应用、SSE 流式渲染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向量数据库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Chroma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本地持久化语义向量检索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图数据库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Neo4j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存储知识图谱，Cypher 查询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关键词检索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BM25Retriever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稀疏检索，与向量检索融合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Embedding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paraphrase-multilingual-MiniLM-L12-v2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本地多语言向量模型（384 维）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重排序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BAAI/bge-reranker-v2-m3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本地交叉编码器精排（备选 DashScope）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大模型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Qwen3-VL-8B-Instruct / qwen2.5:3b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在线 ModelScope / 离线 Ollama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评测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RAGAS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answer_relevancy / faithfulness / context_recall / context_precision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</w:rPr>
        <w:t>4.3 系统功能设计（大功能模块）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378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modu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37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 4-1 系统功能模块层次</w:t>
      </w:r>
    </w:p>
    <w:p>
      <w:r>
        <w:rPr>
          <w:rFonts w:ascii="Times New Roman" w:hAnsi="Times New Roman" w:eastAsia="宋体"/>
          <w:b w:val="0"/>
          <w:sz w:val="24"/>
        </w:rPr>
        <w:t>（1）知识图谱构建模块：基于 LangGraph 的七步流水线，含五层语料清洗、四层语义切块、LLM 三元组抽取（断点续传/质量预筛）、三级实体合并（精确去重/标签统一/bge-m3 语义聚类）、数据清洗、标准化与三维质量校验，产出 kg_cache_cleaned.json 并一键导入 Neo4j。</w:t>
      </w:r>
    </w:p>
    <w:p>
      <w:r>
        <w:rPr>
          <w:rFonts w:ascii="Times New Roman" w:hAnsi="Times New Roman" w:eastAsia="宋体"/>
          <w:b w:val="0"/>
          <w:sz w:val="24"/>
        </w:rPr>
        <w:t>（2）RAG 智能问答模块：三层逻辑架构（接口与会话层 / 检索增强层 / 数据存储层），实现八种检索优化策略——混合检索、实体优先识别、父子索引路由、查询分解、上下文压缩、知识图谱检索、后检索重排、邻近上下文扩展；证据融合后由大模型生成结构化答案，并支持在线/离线双模式与多轮对话。</w:t>
      </w:r>
    </w:p>
    <w:p>
      <w:r>
        <w:rPr>
          <w:rFonts w:ascii="Times New Roman" w:hAnsi="Times New Roman" w:eastAsia="宋体"/>
          <w:b w:val="0"/>
          <w:sz w:val="24"/>
        </w:rPr>
        <w:t>（3）前端交互模块：React 对话窗口，支持流式输出、登录与参数设置（Top-K、是否启用知识图谱）、引用与图谱三元组溯源展示。</w:t>
      </w:r>
    </w:p>
    <w:p>
      <w:r>
        <w:rPr>
          <w:rFonts w:ascii="Times New Roman" w:hAnsi="Times New Roman" w:eastAsia="宋体"/>
          <w:b w:val="0"/>
          <w:sz w:val="24"/>
        </w:rPr>
        <w:t>（4）本地化部署模块：Chroma 向量库、Neo4j 图数据库、本地 Embedding/Reranker、Ollama/私有推理服务，通过 .env 统一配置，满足海上无网络环境的全离线运行要求。</w:t>
      </w:r>
    </w:p>
    <w:p>
      <w:pPr>
        <w:pStyle w:val="Heading2"/>
      </w:pPr>
      <w:r>
        <w:rPr>
          <w:rFonts w:ascii="Times New Roman" w:hAnsi="Times New Roman" w:eastAsia="黑体"/>
        </w:rPr>
        <w:t>4.4 关键实现与成果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双路并行检索：向量(0.40)+BM25(0.60) 加权融合，候选 24 条，重排序后取 Top-6 进入生成。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可信生成：系统提示词强约束“只使用证据、禁止编造、面向现场执行”，答案附引用与三元组。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在线/离线无缝降级：云端不可用时自动切换本地 LLM 或抽取式回答，保证海上可用性。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评测闭环：以 RAGAS 对答案相关性、忠实度、上下文召回与精度量化评估，指导参数调优。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知识规模：覆盖发动机/液压/电气/报警等装备类型，构建实体与关系图谱并支撑因果链推理。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5、系统分工与合作感想</w:t>
      </w:r>
    </w:p>
    <w:p>
      <w:pPr>
        <w:pStyle w:val="Heading2"/>
      </w:pPr>
      <w:r>
        <w:rPr>
          <w:rFonts w:ascii="Times New Roman" w:hAnsi="Times New Roman" w:eastAsia="黑体"/>
        </w:rPr>
        <w:t>5.1 系统分工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041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成员</w:t>
            </w:r>
          </w:p>
        </w:tc>
        <w:tc>
          <w:tcPr>
            <w:tcW w:type="dxa" w:w="2381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负责模块</w:t>
            </w:r>
          </w:p>
        </w:tc>
        <w:tc>
          <w:tcPr>
            <w:tcW w:type="dxa" w:w="4649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主要工作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姓名（学号）/ 组长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知识图谱构建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语料清洗、切块、三元组抽取与实体合并、Neo4j 导入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姓名（学号）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RAG 检索与本地部署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混合检索、八种优化策略、知识图谱接口、本地化部署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姓名（学号）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答案生成与评测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提示词设计、在线/离线生成、RAGAS 评测与调优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姓名（学号）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前端交互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React 对话窗口、流式渲染、溯源展示、登录设置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姓名（学号）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数据与文档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20"/>
              </w:rPr>
              <w:t>手册收集整理、术语词表、测试用例与文档撰写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</w:rPr>
        <w:t>（请根据实际情况填写成员姓名、学号与具体分工。）</w:t>
      </w:r>
    </w:p>
    <w:p>
      <w:pPr>
        <w:pStyle w:val="Heading2"/>
      </w:pPr>
      <w:r>
        <w:rPr>
          <w:rFonts w:ascii="Times New Roman" w:hAnsi="Times New Roman" w:eastAsia="黑体"/>
        </w:rPr>
        <w:t>5.2 合作感想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本次课程设计中，团队围绕“船舶装备故障诊断”这一真实场景，完整走通了从非结构化手册到知识图谱、再到 RAG 智能问答与前端展示的全链路。我们体会到：① 明确的接口契约（chunks.json、chunk_to_kg.json、Neo4j schema、前端 API）是多人协作并行推进的前提；② 检索质量决定生成质量，混合检索与重排序、知识图谱补全等优化策略对专业问答提升明显；③ 面向“海上无网络”的工程约束，倒逼我们完成全本地化部署与在线/离线降级设计，加深了对系统鲁棒性的理解。通过分工协作与持续联调，团队成员在工程实践、问题拆解与沟通协作能力上均得到锻炼。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2E4E7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