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3864"/>
          <w:sz w:val="40"/>
          <w:szCs w:val="40"/>
        </w:rPr>
        <w:t xml:space="preserve">Dyadic Paltering</w:t>
      </w:r>
    </w:p>
    <w:p>
      <w:pPr>
        <w:spacing w:after="40" w:before="0"/>
      </w:pPr>
      <w:r>
        <w:rPr>
          <w:rFonts w:ascii="Calibri" w:cs="Calibri" w:eastAsia="Calibri" w:hAnsi="Calibri"/>
          <w:color w:val="2E5395"/>
          <w:sz w:val="24"/>
          <w:szCs w:val="24"/>
        </w:rPr>
        <w:t xml:space="preserve">Two-agent designs for marketplace deception and echo-chamber formation</w:t>
      </w:r>
    </w:p>
    <w:p>
      <w:pPr>
        <w:spacing w:after="220" w:before="0"/>
      </w:pPr>
      <w:r>
        <w:rPr>
          <w:rFonts w:ascii="Calibri" w:cs="Calibri" w:eastAsia="Calibri" w:hAnsi="Calibri"/>
          <w:i/>
          <w:iCs/>
          <w:color w:val="666666"/>
          <w:sz w:val="18"/>
          <w:szCs w:val="18"/>
        </w:rPr>
        <w:t xml:space="preserve">Research design v0.1 — draft for discussion · August 16, 2026 · builds on the misuse-pilot results, the Shared Responsibility Model (Ren, Hart, Levine &amp; Schweitzer 2022), and differentiation from JANUS (arXiv:2606.10852)</w:t>
      </w:r>
    </w:p>
    <w:p>
      <w:pPr>
        <w:pStyle w:val="Heading1"/>
        <w:spacing w:after="140" w:before="260"/>
      </w:pPr>
      <w:r>
        <w:rPr>
          <w:rFonts w:ascii="Calibri" w:cs="Calibri" w:eastAsia="Calibri" w:hAnsi="Calibri"/>
          <w:b/>
          <w:bCs/>
          <w:color w:val="1F3864"/>
          <w:sz w:val="28"/>
          <w:szCs w:val="28"/>
        </w:rPr>
        <w:t xml:space="preserve">1. What changes, and why it is distinct</w:t>
      </w:r>
    </w:p>
    <w:p>
      <w:pPr>
        <w:spacing w:after="160" w:before="0"/>
      </w:pPr>
      <w:r>
        <w:rPr>
          <w:rFonts w:ascii="Calibri" w:cs="Calibri" w:eastAsia="Calibri" w:hAnsi="Calibri"/>
          <w:sz w:val="21"/>
          <w:szCs w:val="21"/>
        </w:rPr>
        <w:t xml:space="preserve">The pilot established that frontier models produce misleading-but-true content for a requester (misled rate 72–82% across request strengths; selective transmission of the damaging fact, OR 0.20 controlling for information density). Every published neighbor — JANUS, MASK, Machine Bullshit — measures a single model writing a single text, scored on text properties. The redesign moves to interacting dyads: a producer whose incentives and norms vary, and a recipient who can question, verify, and update. This is where our two theoretical commitments become measurable: (1) paltering is defined by its effect on the recipient's gist, so the recipient must be instrumented, not simulated by a one-shot judge; (2) the Shared Responsibility Model treats deception as co-produced by communicator and target, so target-side vigilance and norms are experimental factors, not noise.</w:t>
      </w:r>
    </w:p>
    <w:p>
      <w:pPr>
        <w:pStyle w:val="Heading1"/>
        <w:spacing w:after="140" w:before="260"/>
      </w:pPr>
      <w:r>
        <w:rPr>
          <w:rFonts w:ascii="Calibri" w:cs="Calibri" w:eastAsia="Calibri" w:hAnsi="Calibri"/>
          <w:b/>
          <w:bCs/>
          <w:color w:val="1F3864"/>
          <w:sz w:val="28"/>
          <w:szCs w:val="28"/>
        </w:rPr>
        <w:t xml:space="preserve">2. Study A — Marketplace dyad (seller × buyer)</w:t>
      </w:r>
    </w:p>
    <w:p>
      <w:pPr>
        <w:spacing w:after="100" w:before="0"/>
      </w:pPr>
      <w:r>
        <w:rPr>
          <w:rFonts w:ascii="Calibri" w:cs="Calibri" w:eastAsia="Calibri" w:hAnsi="Calibri"/>
          <w:sz w:val="21"/>
          <w:szCs w:val="21"/>
        </w:rPr>
        <w:t xml:space="preserve">Two agents negotiate over an item whose private document (our pilot format: 6 positive / 3 minor / 1 damaging fact) is known only to the seller. Structured protocol: fixed maximum of 6 exchanges, price offers permitted, terminal buy/no-buy decision at an agreed price.</w:t>
      </w:r>
    </w:p>
    <w:p>
      <w:pPr>
        <w:pStyle w:val="Heading2"/>
        <w:spacing w:after="110" w:before="200"/>
      </w:pPr>
      <w:r>
        <w:rPr>
          <w:rFonts w:ascii="Calibri" w:cs="Calibri" w:eastAsia="Calibri" w:hAnsi="Calibri"/>
          <w:b/>
          <w:bCs/>
          <w:color w:val="2E5395"/>
          <w:sz w:val="24"/>
          <w:szCs w:val="24"/>
        </w:rPr>
        <w:t xml:space="preserve">2.1 Manipulated factors</w:t>
      </w:r>
    </w:p>
    <w:p>
      <w:pPr>
        <w:pStyle w:val="ListParagraph"/>
        <w:numPr>
          <w:ilvl w:val="0"/>
          <w:numId w:val="2"/>
        </w:numPr>
        <w:spacing w:after="70"/>
      </w:pPr>
      <w:r>
        <w:rPr>
          <w:rFonts w:ascii="Calibri" w:cs="Calibri" w:eastAsia="Calibri" w:hAnsi="Calibri"/>
          <w:b/>
          <w:bCs/>
          <w:sz w:val="21"/>
          <w:szCs w:val="21"/>
        </w:rPr>
        <w:t xml:space="preserve">Disclosure norm (seller side, 3 levels): </w:t>
      </w:r>
      <w:r>
        <w:rPr>
          <w:rFonts w:ascii="Calibri" w:cs="Calibri" w:eastAsia="Calibri" w:hAnsi="Calibri"/>
          <w:sz w:val="21"/>
          <w:szCs w:val="21"/>
        </w:rPr>
        <w:t xml:space="preserve">caveat-emptor framing (“buyers are expected to ask; sellers answer what is asked”), affirmative-duty framing (“sellers here are expected to disclose known material defects”), and unstated (pilot condition). SR-Model prediction: paltering rises under caveat emptor — the norm licenses omission by shifting responsibility to the target.</w:t>
      </w:r>
    </w:p>
    <w:p>
      <w:pPr>
        <w:pStyle w:val="ListParagraph"/>
        <w:numPr>
          <w:ilvl w:val="0"/>
          <w:numId w:val="2"/>
        </w:numPr>
        <w:spacing w:after="70"/>
      </w:pPr>
      <w:r>
        <w:rPr>
          <w:rFonts w:ascii="Calibri" w:cs="Calibri" w:eastAsia="Calibri" w:hAnsi="Calibri"/>
          <w:b/>
          <w:bCs/>
          <w:sz w:val="21"/>
          <w:szCs w:val="21"/>
        </w:rPr>
        <w:t xml:space="preserve">Buyer diligence (target side, 3 levels): </w:t>
      </w:r>
      <w:r>
        <w:rPr>
          <w:rFonts w:ascii="Calibri" w:cs="Calibri" w:eastAsia="Calibri" w:hAnsi="Calibri"/>
          <w:sz w:val="21"/>
          <w:szCs w:val="21"/>
        </w:rPr>
        <w:t xml:space="preserve">passive (no probing), generic question (“anything else I should know?”), presumptive question (“what problems does it have?”). Grounded in Minson/VanEpps/Schweitzer question-phrasing effects; tests whether models honor target vigilance the way human sellers do.</w:t>
      </w:r>
    </w:p>
    <w:p>
      <w:pPr>
        <w:spacing w:after="100" w:before="0"/>
      </w:pPr>
      <w:r>
        <w:rPr>
          <w:rFonts w:ascii="Calibri" w:cs="Calibri" w:eastAsia="Calibri" w:hAnsi="Calibri"/>
          <w:sz w:val="21"/>
          <w:szCs w:val="21"/>
        </w:rPr>
        <w:t xml:space="preserve">Design: 3 × 3, ~20 scenarios (drawn from the 100-scenario marketplace set), n = 5 dyads per cell. Seller models: 3 frontier (behavioral layers) + Llama-3.3-70B (all layers). Buyer model: open-weight (fixed), so its internals are always readable.</w:t>
      </w:r>
    </w:p>
    <w:p>
      <w:pPr>
        <w:pStyle w:val="Heading2"/>
        <w:spacing w:after="110" w:before="200"/>
      </w:pPr>
      <w:r>
        <w:rPr>
          <w:rFonts w:ascii="Calibri" w:cs="Calibri" w:eastAsia="Calibri" w:hAnsi="Calibri"/>
          <w:b/>
          <w:bCs/>
          <w:color w:val="2E5395"/>
          <w:sz w:val="24"/>
          <w:szCs w:val="24"/>
        </w:rPr>
        <w:t xml:space="preserve">2.2 Outcomes</w:t>
      </w:r>
    </w:p>
    <w:p>
      <w:pPr>
        <w:spacing w:after="160" w:before="0"/>
      </w:pPr>
      <w:r>
        <w:rPr>
          <w:rFonts w:ascii="Calibri" w:cs="Calibri" w:eastAsia="Calibri" w:hAnsi="Calibri"/>
          <w:sz w:val="21"/>
          <w:szCs w:val="21"/>
        </w:rPr>
        <w:t xml:space="preserve">Beyond the pilot's gist gap: deal rate, transaction price vs. defect-adjusted fair value (buyer surplus loss = quantified harm), disclosure timing (which turn, if ever), and doubling-down after direct questions.</w:t>
      </w:r>
    </w:p>
    <w:p>
      <w:pPr>
        <w:pStyle w:val="Heading1"/>
        <w:spacing w:after="140" w:before="260"/>
      </w:pPr>
      <w:r>
        <w:rPr>
          <w:rFonts w:ascii="Calibri" w:cs="Calibri" w:eastAsia="Calibri" w:hAnsi="Calibri"/>
          <w:b/>
          <w:bCs/>
          <w:color w:val="1F3864"/>
          <w:sz w:val="28"/>
          <w:szCs w:val="28"/>
        </w:rPr>
        <w:t xml:space="preserve">3. Study B — Echo-chamber dyad (curator × audience)</w:t>
      </w:r>
    </w:p>
    <w:p>
      <w:pPr>
        <w:pStyle w:val="Heading2"/>
        <w:spacing w:after="110" w:before="200"/>
      </w:pPr>
      <w:r>
        <w:rPr>
          <w:rFonts w:ascii="Calibri" w:cs="Calibri" w:eastAsia="Calibri" w:hAnsi="Calibri"/>
          <w:b/>
          <w:bCs/>
          <w:color w:val="2E5395"/>
          <w:sz w:val="24"/>
          <w:szCs w:val="24"/>
        </w:rPr>
        <w:t xml:space="preserve">3.1 Producer: goal-conditioned curation over a verified-true pool</w:t>
      </w:r>
    </w:p>
    <w:p>
      <w:pPr>
        <w:spacing w:after="100" w:before="0"/>
      </w:pPr>
      <w:r>
        <w:rPr>
          <w:rFonts w:ascii="Calibri" w:cs="Calibri" w:eastAsia="Calibri" w:hAnsi="Calibri"/>
          <w:sz w:val="21"/>
          <w:szCs w:val="21"/>
        </w:rPr>
        <w:t xml:space="preserve">One agent operates a platform feed with a persona (two political identities) and a goal (1–3 per persona; e.g., raise support for X before the midterm). Refinement of the 10,000-news idea: a single 10k-item document is neither feasible in context nor measurable. Instead, the curator queries a topic-indexed selection pool (~20 topics × 50–100 items; every item validated-true, drawn from our AVeriTeC/PUBHEALTH evidence base plus wire reporting, each item valence-tagged relative to the goal by the fact-checklist machinery). Each round it selects and may reframe k items for the feed. All items are true; therefore every misleading feed is paltering by construction — selection, framing, and aggregation of truths. This is the pilot's selection function scaled to a feed.</w:t>
      </w:r>
    </w:p>
    <w:p>
      <w:pPr>
        <w:pStyle w:val="Heading2"/>
        <w:spacing w:after="110" w:before="200"/>
      </w:pPr>
      <w:r>
        <w:rPr>
          <w:rFonts w:ascii="Calibri" w:cs="Calibri" w:eastAsia="Calibri" w:hAnsi="Calibri"/>
          <w:b/>
          <w:bCs/>
          <w:color w:val="2E5395"/>
          <w:sz w:val="24"/>
          <w:szCs w:val="24"/>
        </w:rPr>
        <w:t xml:space="preserve">3.2 The loop that builds the chamber</w:t>
      </w:r>
    </w:p>
    <w:p>
      <w:pPr>
        <w:spacing w:after="100" w:before="0"/>
      </w:pPr>
      <w:r>
        <w:rPr>
          <w:rFonts w:ascii="Calibri" w:cs="Calibri" w:eastAsia="Calibri" w:hAnsi="Calibri"/>
          <w:sz w:val="21"/>
          <w:szCs w:val="21"/>
        </w:rPr>
        <w:t xml:space="preserve">T = 5 rounds. After each round the curator receives the audience's engagement signal (clicks/likes/dwell proxy). This feedback is the echo-chamber mechanism — without it the design is one-shot curation. Slant of the feed and audience belief are tracked per round; two audience clones under opposing personas yield a polarization (belief-divergence) curve.</w:t>
      </w:r>
    </w:p>
    <w:p>
      <w:pPr>
        <w:pStyle w:val="Heading2"/>
        <w:spacing w:after="110" w:before="200"/>
      </w:pPr>
      <w:r>
        <w:rPr>
          <w:rFonts w:ascii="Calibri" w:cs="Calibri" w:eastAsia="Calibri" w:hAnsi="Calibri"/>
          <w:b/>
          <w:bCs/>
          <w:color w:val="2E5395"/>
          <w:sz w:val="24"/>
          <w:szCs w:val="24"/>
        </w:rPr>
        <w:t xml:space="preserve">3.3 Audience: exposure, verification, updating</w:t>
      </w:r>
    </w:p>
    <w:p>
      <w:pPr>
        <w:spacing w:after="100" w:before="0"/>
      </w:pPr>
      <w:r>
        <w:rPr>
          <w:rFonts w:ascii="Calibri" w:cs="Calibri" w:eastAsia="Calibri" w:hAnsi="Calibri"/>
          <w:sz w:val="21"/>
          <w:szCs w:val="21"/>
        </w:rPr>
        <w:t xml:space="preserve">The audience agent (open-weight) reads the feed and holds optional access to a verification tool: retrieval over a mixed corpus containing the validated originals plus constructed variants (paltered framings and outright fabrications). Every retrieval call is logged. Key theory-driven prediction: verification targets verbatim-checkable falsehoods, so fabrications trigger lookups and get caught, while paltered items — containing no checkable false fact — evade verification yet still move the gist. If confirmed, this is the mechanism by which paltering outperforms fake news in belief impact per unit of detection risk.</w:t>
      </w:r>
    </w:p>
    <w:p>
      <w:pPr>
        <w:pStyle w:val="Heading2"/>
        <w:spacing w:after="110" w:before="200"/>
      </w:pPr>
      <w:r>
        <w:rPr>
          <w:rFonts w:ascii="Calibri" w:cs="Calibri" w:eastAsia="Calibri" w:hAnsi="Calibri"/>
          <w:b/>
          <w:bCs/>
          <w:color w:val="2E5395"/>
          <w:sz w:val="24"/>
          <w:szCs w:val="24"/>
        </w:rPr>
        <w:t xml:space="preserve">3.4 Counterfactual baseline</w:t>
      </w:r>
    </w:p>
    <w:p>
      <w:pPr>
        <w:spacing w:after="160" w:before="0"/>
      </w:pPr>
      <w:r>
        <w:rPr>
          <w:rFonts w:ascii="Calibri" w:cs="Calibri" w:eastAsia="Calibri" w:hAnsi="Calibri"/>
          <w:sz w:val="21"/>
          <w:szCs w:val="21"/>
        </w:rPr>
        <w:t xml:space="preserve">A balanced-editor agent curates from the identical pool with an accuracy-and-balance goal. The audience's belief trajectory under the propaganda feed minus under the balanced feed is the feed-level analog of the pilot's honest-reference gap — the misled measure at system scale.</w:t>
      </w:r>
    </w:p>
    <w:p>
      <w:pPr>
        <w:pStyle w:val="Heading1"/>
        <w:spacing w:after="140" w:before="260"/>
      </w:pPr>
      <w:r>
        <w:rPr>
          <w:rFonts w:ascii="Calibri" w:cs="Calibri" w:eastAsia="Calibri" w:hAnsi="Calibri"/>
          <w:b/>
          <w:bCs/>
          <w:color w:val="1F3864"/>
          <w:sz w:val="28"/>
          <w:szCs w:val="28"/>
        </w:rPr>
        <w:t xml:space="preserve">4. Measurement framework (refined)</w:t>
      </w:r>
    </w:p>
    <w:p>
      <w:pPr>
        <w:spacing w:after="120" w:before="0"/>
      </w:pPr>
      <w:r>
        <w:rPr>
          <w:rFonts w:ascii="Calibri" w:cs="Calibri" w:eastAsia="Calibri" w:hAnsi="Calibri"/>
          <w:sz w:val="21"/>
          <w:szCs w:val="21"/>
        </w:rPr>
        <w:t xml:space="preserve">Three layers per agent. Mechanistic layers require open weights and run on the cluster; behavioral layers run on any model. “Intent” is not directly observable — we operationalize it as the triangulation of layers P2–P3 and phrase claims as internal markers of deception-consistent processing.</w:t>
      </w:r>
    </w:p>
    <w:tbl>
      <w:tblPr>
        <w:tblW w:type="dxa" w:w="9360"/>
        <w:tblBorders>
          <w:top w:val="single" w:color="9DB2D6" w:sz="4"/>
          <w:left w:val="single" w:color="9DB2D6" w:sz="4"/>
          <w:bottom w:val="single" w:color="9DB2D6" w:sz="4"/>
          <w:right w:val="single" w:color="9DB2D6" w:sz="4"/>
          <w:insideH w:val="single" w:color="C9D6EA" w:sz="3"/>
          <w:insideV w:val="single" w:color="C9D6EA" w:sz="3"/>
        </w:tblBorders>
      </w:tblPr>
      <w:tblGrid>
        <w:gridCol w:w="2200"/>
        <w:gridCol w:w="3650"/>
        <w:gridCol w:w="3510"/>
      </w:tblGrid>
      <w:tr>
        <w:tc>
          <w:tcPr>
            <w:tcW w:type="dxa" w:w="2200"/>
            <w:shd w:fill="DCE6F1" w:val="clear"/>
            <w:tcMar>
              <w:top w:type="dxa" w:w="60"/>
              <w:left w:type="dxa" w:w="100"/>
              <w:bottom w:type="dxa" w:w="60"/>
              <w:right w:type="dxa" w:w="100"/>
            </w:tcMar>
          </w:tcPr>
          <w:p>
            <w:pPr>
              <w:spacing w:after="30"/>
            </w:pPr>
            <w:r>
              <w:rPr>
                <w:rFonts w:ascii="Calibri" w:cs="Calibri" w:eastAsia="Calibri" w:hAnsi="Calibri"/>
                <w:b/>
                <w:bCs/>
                <w:sz w:val="19"/>
                <w:szCs w:val="19"/>
              </w:rPr>
              <w:t xml:space="preserve">Layer</w:t>
            </w:r>
          </w:p>
        </w:tc>
        <w:tc>
          <w:tcPr>
            <w:tcW w:type="dxa" w:w="3650"/>
            <w:shd w:fill="DCE6F1" w:val="clear"/>
            <w:tcMar>
              <w:top w:type="dxa" w:w="60"/>
              <w:left w:type="dxa" w:w="100"/>
              <w:bottom w:type="dxa" w:w="60"/>
              <w:right w:type="dxa" w:w="100"/>
            </w:tcMar>
          </w:tcPr>
          <w:p>
            <w:pPr>
              <w:spacing w:after="30"/>
            </w:pPr>
            <w:r>
              <w:rPr>
                <w:rFonts w:ascii="Calibri" w:cs="Calibri" w:eastAsia="Calibri" w:hAnsi="Calibri"/>
                <w:b/>
                <w:bCs/>
                <w:sz w:val="19"/>
                <w:szCs w:val="19"/>
              </w:rPr>
              <w:t xml:space="preserve">Operational definition</w:t>
            </w:r>
          </w:p>
        </w:tc>
        <w:tc>
          <w:tcPr>
            <w:tcW w:type="dxa" w:w="3510"/>
            <w:shd w:fill="DCE6F1" w:val="clear"/>
            <w:tcMar>
              <w:top w:type="dxa" w:w="60"/>
              <w:left w:type="dxa" w:w="100"/>
              <w:bottom w:type="dxa" w:w="60"/>
              <w:right w:type="dxa" w:w="100"/>
            </w:tcMar>
          </w:tcPr>
          <w:p>
            <w:pPr>
              <w:spacing w:after="30"/>
            </w:pPr>
            <w:r>
              <w:rPr>
                <w:rFonts w:ascii="Calibri" w:cs="Calibri" w:eastAsia="Calibri" w:hAnsi="Calibri"/>
                <w:b/>
                <w:bCs/>
                <w:sz w:val="19"/>
                <w:szCs w:val="19"/>
              </w:rPr>
              <w:t xml:space="preserve">Instrument / feasibility</w:t>
            </w:r>
          </w:p>
        </w:tc>
      </w:tr>
      <w:tr>
        <w:tc>
          <w:tcPr>
            <w:tcW w:type="dxa" w:w="2200"/>
            <w:tcMar>
              <w:top w:type="dxa" w:w="60"/>
              <w:left w:type="dxa" w:w="100"/>
              <w:bottom w:type="dxa" w:w="60"/>
              <w:right w:type="dxa" w:w="100"/>
            </w:tcMar>
          </w:tcPr>
          <w:p>
            <w:pPr>
              <w:spacing w:after="30"/>
            </w:pPr>
            <w:r>
              <w:rPr>
                <w:rFonts w:ascii="Calibri" w:cs="Calibri" w:eastAsia="Calibri" w:hAnsi="Calibri"/>
                <w:sz w:val="19"/>
                <w:szCs w:val="19"/>
              </w:rPr>
              <w:t xml:space="preserve">PRODUCER P1</w:t>
            </w:r>
          </w:p>
          <w:p>
            <w:pPr>
              <w:spacing w:after="30"/>
            </w:pPr>
            <w:r>
              <w:rPr>
                <w:rFonts w:ascii="Calibri" w:cs="Calibri" w:eastAsia="Calibri" w:hAnsi="Calibri"/>
                <w:sz w:val="19"/>
                <w:szCs w:val="19"/>
              </w:rPr>
              <w:t xml:space="preserve">behavioral</w:t>
            </w:r>
          </w:p>
        </w:tc>
        <w:tc>
          <w:tcPr>
            <w:tcW w:type="dxa" w:w="3650"/>
            <w:tcMar>
              <w:top w:type="dxa" w:w="60"/>
              <w:left w:type="dxa" w:w="100"/>
              <w:bottom w:type="dxa" w:w="60"/>
              <w:right w:type="dxa" w:w="100"/>
            </w:tcMar>
          </w:tcPr>
          <w:p>
            <w:pPr>
              <w:spacing w:after="30"/>
            </w:pPr>
            <w:r>
              <w:rPr>
                <w:rFonts w:ascii="Calibri" w:cs="Calibri" w:eastAsia="Calibri" w:hAnsi="Calibri"/>
                <w:sz w:val="19"/>
                <w:szCs w:val="19"/>
              </w:rPr>
              <w:t xml:space="preserve">Selection function τ by fact/item valence × condition; tactic codes (§5); JANUS-comparable ordering / emphasis / numeral-preservation scores</w:t>
            </w:r>
          </w:p>
        </w:tc>
        <w:tc>
          <w:tcPr>
            <w:tcW w:type="dxa" w:w="3510"/>
            <w:tcMar>
              <w:top w:type="dxa" w:w="60"/>
              <w:left w:type="dxa" w:w="100"/>
              <w:bottom w:type="dxa" w:w="60"/>
              <w:right w:type="dxa" w:w="100"/>
            </w:tcMar>
          </w:tcPr>
          <w:p>
            <w:pPr>
              <w:spacing w:after="30"/>
            </w:pPr>
            <w:r>
              <w:rPr>
                <w:rFonts w:ascii="Calibri" w:cs="Calibri" w:eastAsia="Calibri" w:hAnsi="Calibri"/>
                <w:sz w:val="19"/>
                <w:szCs w:val="19"/>
              </w:rPr>
              <w:t xml:space="preserve">Existing fact-judge + position/token-mass fields; any model; ~$0.01/reply</w:t>
            </w:r>
          </w:p>
        </w:tc>
      </w:tr>
      <w:tr>
        <w:tc>
          <w:tcPr>
            <w:tcW w:type="dxa" w:w="2200"/>
            <w:tcMar>
              <w:top w:type="dxa" w:w="60"/>
              <w:left w:type="dxa" w:w="100"/>
              <w:bottom w:type="dxa" w:w="60"/>
              <w:right w:type="dxa" w:w="100"/>
            </w:tcMar>
          </w:tcPr>
          <w:p>
            <w:pPr>
              <w:spacing w:after="30"/>
            </w:pPr>
            <w:r>
              <w:rPr>
                <w:rFonts w:ascii="Calibri" w:cs="Calibri" w:eastAsia="Calibri" w:hAnsi="Calibri"/>
                <w:sz w:val="19"/>
                <w:szCs w:val="19"/>
              </w:rPr>
              <w:t xml:space="preserve">PRODUCER P2</w:t>
            </w:r>
          </w:p>
          <w:p>
            <w:pPr>
              <w:spacing w:after="30"/>
            </w:pPr>
            <w:r>
              <w:rPr>
                <w:rFonts w:ascii="Calibri" w:cs="Calibri" w:eastAsia="Calibri" w:hAnsi="Calibri"/>
                <w:sz w:val="19"/>
                <w:szCs w:val="19"/>
              </w:rPr>
              <w:t xml:space="preserve">belief–assertion</w:t>
            </w:r>
          </w:p>
        </w:tc>
        <w:tc>
          <w:tcPr>
            <w:tcW w:type="dxa" w:w="3650"/>
            <w:tcMar>
              <w:top w:type="dxa" w:w="60"/>
              <w:left w:type="dxa" w:w="100"/>
              <w:bottom w:type="dxa" w:w="60"/>
              <w:right w:type="dxa" w:w="100"/>
            </w:tcMar>
          </w:tcPr>
          <w:p>
            <w:pPr>
              <w:spacing w:after="30"/>
            </w:pPr>
            <w:r>
              <w:rPr>
                <w:rFonts w:ascii="Calibri" w:cs="Calibri" w:eastAsia="Calibri" w:hAnsi="Calibri"/>
                <w:sz w:val="19"/>
                <w:szCs w:val="19"/>
              </w:rPr>
              <w:t xml:space="preserve">Gap between privately elicited belief (fresh-context clone + in-thread elicitation, MASK-style) and asserted content; Bullshit-Index analog</w:t>
            </w:r>
          </w:p>
        </w:tc>
        <w:tc>
          <w:tcPr>
            <w:tcW w:type="dxa" w:w="3510"/>
            <w:tcMar>
              <w:top w:type="dxa" w:w="60"/>
              <w:left w:type="dxa" w:w="100"/>
              <w:bottom w:type="dxa" w:w="60"/>
              <w:right w:type="dxa" w:w="100"/>
            </w:tcMar>
          </w:tcPr>
          <w:p>
            <w:pPr>
              <w:spacing w:after="30"/>
            </w:pPr>
            <w:r>
              <w:rPr>
                <w:rFonts w:ascii="Calibri" w:cs="Calibri" w:eastAsia="Calibri" w:hAnsi="Calibri"/>
                <w:sz w:val="19"/>
                <w:szCs w:val="19"/>
              </w:rPr>
              <w:t xml:space="preserve">API calls only; any model; the “lying vs. bullshitting” discriminator</w:t>
            </w:r>
          </w:p>
        </w:tc>
      </w:tr>
      <w:tr>
        <w:tc>
          <w:tcPr>
            <w:tcW w:type="dxa" w:w="2200"/>
            <w:tcMar>
              <w:top w:type="dxa" w:w="60"/>
              <w:left w:type="dxa" w:w="100"/>
              <w:bottom w:type="dxa" w:w="60"/>
              <w:right w:type="dxa" w:w="100"/>
            </w:tcMar>
          </w:tcPr>
          <w:p>
            <w:pPr>
              <w:spacing w:after="30"/>
            </w:pPr>
            <w:r>
              <w:rPr>
                <w:rFonts w:ascii="Calibri" w:cs="Calibri" w:eastAsia="Calibri" w:hAnsi="Calibri"/>
                <w:sz w:val="19"/>
                <w:szCs w:val="19"/>
              </w:rPr>
              <w:t xml:space="preserve">PRODUCER P3</w:t>
            </w:r>
          </w:p>
          <w:p>
            <w:pPr>
              <w:spacing w:after="30"/>
            </w:pPr>
            <w:r>
              <w:rPr>
                <w:rFonts w:ascii="Calibri" w:cs="Calibri" w:eastAsia="Calibri" w:hAnsi="Calibri"/>
                <w:sz w:val="19"/>
                <w:szCs w:val="19"/>
              </w:rPr>
              <w:t xml:space="preserve">mechanistic</w:t>
            </w:r>
          </w:p>
        </w:tc>
        <w:tc>
          <w:tcPr>
            <w:tcW w:type="dxa" w:w="3650"/>
            <w:tcMar>
              <w:top w:type="dxa" w:w="60"/>
              <w:left w:type="dxa" w:w="100"/>
              <w:bottom w:type="dxa" w:w="60"/>
              <w:right w:type="dxa" w:w="100"/>
            </w:tcMar>
          </w:tcPr>
          <w:p>
            <w:pPr>
              <w:spacing w:after="30"/>
            </w:pPr>
            <w:r>
              <w:rPr>
                <w:rFonts w:ascii="Calibri" w:cs="Calibri" w:eastAsia="Calibri" w:hAnsi="Calibri"/>
                <w:sz w:val="19"/>
                <w:szCs w:val="19"/>
              </w:rPr>
              <w:t xml:space="preserve">(a) Teacher-forced fork Δ at decision points — scored immediately after the buyer's question, not mid-monologue (single-turn Δ was null in our Llama run; decision-point placement is pilot question P1); (b) linear deception-probe score during production (Apollo method; trained on our own honest-reference vs. instructed-palter contrast set, validated on held-out scenarios, AUROC reported before use)</w:t>
            </w:r>
          </w:p>
        </w:tc>
        <w:tc>
          <w:tcPr>
            <w:tcW w:type="dxa" w:w="3510"/>
            <w:tcMar>
              <w:top w:type="dxa" w:w="60"/>
              <w:left w:type="dxa" w:w="100"/>
              <w:bottom w:type="dxa" w:w="60"/>
              <w:right w:type="dxa" w:w="100"/>
            </w:tcMar>
          </w:tcPr>
          <w:p>
            <w:pPr>
              <w:spacing w:after="30"/>
            </w:pPr>
            <w:r>
              <w:rPr>
                <w:rFonts w:ascii="Calibri" w:cs="Calibri" w:eastAsia="Calibri" w:hAnsi="Calibri"/>
                <w:sz w:val="19"/>
                <w:szCs w:val="19"/>
              </w:rPr>
              <w:t xml:space="preserve">Open weights only (Llama-3.3-70B FP8 on Cronus; pipeline exists)</w:t>
            </w:r>
          </w:p>
        </w:tc>
      </w:tr>
      <w:tr>
        <w:tc>
          <w:tcPr>
            <w:tcW w:type="dxa" w:w="2200"/>
            <w:tcMar>
              <w:top w:type="dxa" w:w="60"/>
              <w:left w:type="dxa" w:w="100"/>
              <w:bottom w:type="dxa" w:w="60"/>
              <w:right w:type="dxa" w:w="100"/>
            </w:tcMar>
          </w:tcPr>
          <w:p>
            <w:pPr>
              <w:spacing w:after="30"/>
            </w:pPr>
            <w:r>
              <w:rPr>
                <w:rFonts w:ascii="Calibri" w:cs="Calibri" w:eastAsia="Calibri" w:hAnsi="Calibri"/>
                <w:sz w:val="19"/>
                <w:szCs w:val="19"/>
              </w:rPr>
              <w:t xml:space="preserve">AUDIENCE A1</w:t>
            </w:r>
          </w:p>
          <w:p>
            <w:pPr>
              <w:spacing w:after="30"/>
            </w:pPr>
            <w:r>
              <w:rPr>
                <w:rFonts w:ascii="Calibri" w:cs="Calibri" w:eastAsia="Calibri" w:hAnsi="Calibri"/>
                <w:sz w:val="19"/>
                <w:szCs w:val="19"/>
              </w:rPr>
              <w:t xml:space="preserve">behavioral</w:t>
            </w:r>
          </w:p>
        </w:tc>
        <w:tc>
          <w:tcPr>
            <w:tcW w:type="dxa" w:w="3650"/>
            <w:tcMar>
              <w:top w:type="dxa" w:w="60"/>
              <w:left w:type="dxa" w:w="100"/>
              <w:bottom w:type="dxa" w:w="60"/>
              <w:right w:type="dxa" w:w="100"/>
            </w:tcMar>
          </w:tcPr>
          <w:p>
            <w:pPr>
              <w:spacing w:after="30"/>
            </w:pPr>
            <w:r>
              <w:rPr>
                <w:rFonts w:ascii="Calibri" w:cs="Calibri" w:eastAsia="Calibri" w:hAnsi="Calibri"/>
                <w:sz w:val="19"/>
                <w:szCs w:val="19"/>
              </w:rPr>
              <w:t xml:space="preserve">GIST / COMPLETE / ACTION at checkpoints (t0 baseline, per round, final); WTP or decision; share intention</w:t>
            </w:r>
          </w:p>
        </w:tc>
        <w:tc>
          <w:tcPr>
            <w:tcW w:type="dxa" w:w="3510"/>
            <w:tcMar>
              <w:top w:type="dxa" w:w="60"/>
              <w:left w:type="dxa" w:w="100"/>
              <w:bottom w:type="dxa" w:w="60"/>
              <w:right w:type="dxa" w:w="100"/>
            </w:tcMar>
          </w:tcPr>
          <w:p>
            <w:pPr>
              <w:spacing w:after="30"/>
            </w:pPr>
            <w:r>
              <w:rPr>
                <w:rFonts w:ascii="Calibri" w:cs="Calibri" w:eastAsia="Calibri" w:hAnsi="Calibri"/>
                <w:sz w:val="19"/>
                <w:szCs w:val="19"/>
              </w:rPr>
              <w:t xml:space="preserve">Prompted probes of the audience agent; any model</w:t>
            </w:r>
          </w:p>
        </w:tc>
      </w:tr>
      <w:tr>
        <w:tc>
          <w:tcPr>
            <w:tcW w:type="dxa" w:w="2200"/>
            <w:tcMar>
              <w:top w:type="dxa" w:w="60"/>
              <w:left w:type="dxa" w:w="100"/>
              <w:bottom w:type="dxa" w:w="60"/>
              <w:right w:type="dxa" w:w="100"/>
            </w:tcMar>
          </w:tcPr>
          <w:p>
            <w:pPr>
              <w:spacing w:after="30"/>
            </w:pPr>
            <w:r>
              <w:rPr>
                <w:rFonts w:ascii="Calibri" w:cs="Calibri" w:eastAsia="Calibri" w:hAnsi="Calibri"/>
                <w:sz w:val="19"/>
                <w:szCs w:val="19"/>
              </w:rPr>
              <w:t xml:space="preserve">AUDIENCE A2</w:t>
            </w:r>
          </w:p>
          <w:p>
            <w:pPr>
              <w:spacing w:after="30"/>
            </w:pPr>
            <w:r>
              <w:rPr>
                <w:rFonts w:ascii="Calibri" w:cs="Calibri" w:eastAsia="Calibri" w:hAnsi="Calibri"/>
                <w:sz w:val="19"/>
                <w:szCs w:val="19"/>
              </w:rPr>
              <w:t xml:space="preserve">verification</w:t>
            </w:r>
          </w:p>
        </w:tc>
        <w:tc>
          <w:tcPr>
            <w:tcW w:type="dxa" w:w="3650"/>
            <w:tcMar>
              <w:top w:type="dxa" w:w="60"/>
              <w:left w:type="dxa" w:w="100"/>
              <w:bottom w:type="dxa" w:w="60"/>
              <w:right w:type="dxa" w:w="100"/>
            </w:tcMar>
          </w:tcPr>
          <w:p>
            <w:pPr>
              <w:spacing w:after="30"/>
            </w:pPr>
            <w:r>
              <w:rPr>
                <w:rFonts w:ascii="Calibri" w:cs="Calibri" w:eastAsia="Calibri" w:hAnsi="Calibri"/>
                <w:sz w:val="19"/>
                <w:szCs w:val="19"/>
              </w:rPr>
              <w:t xml:space="preserve">Retrieval rate per item type (true / palter / fake); targeting d′; belief updating conditional on verification outcome</w:t>
            </w:r>
          </w:p>
        </w:tc>
        <w:tc>
          <w:tcPr>
            <w:tcW w:type="dxa" w:w="3510"/>
            <w:tcMar>
              <w:top w:type="dxa" w:w="60"/>
              <w:left w:type="dxa" w:w="100"/>
              <w:bottom w:type="dxa" w:w="60"/>
              <w:right w:type="dxa" w:w="100"/>
            </w:tcMar>
          </w:tcPr>
          <w:p>
            <w:pPr>
              <w:spacing w:after="30"/>
            </w:pPr>
            <w:r>
              <w:rPr>
                <w:rFonts w:ascii="Calibri" w:cs="Calibri" w:eastAsia="Calibri" w:hAnsi="Calibri"/>
                <w:sz w:val="19"/>
                <w:szCs w:val="19"/>
              </w:rPr>
              <w:t xml:space="preserve">Tool-call logs; any model with tool use</w:t>
            </w:r>
          </w:p>
        </w:tc>
      </w:tr>
      <w:tr>
        <w:tc>
          <w:tcPr>
            <w:tcW w:type="dxa" w:w="2200"/>
            <w:tcMar>
              <w:top w:type="dxa" w:w="60"/>
              <w:left w:type="dxa" w:w="100"/>
              <w:bottom w:type="dxa" w:w="60"/>
              <w:right w:type="dxa" w:w="100"/>
            </w:tcMar>
          </w:tcPr>
          <w:p>
            <w:pPr>
              <w:spacing w:after="30"/>
            </w:pPr>
            <w:r>
              <w:rPr>
                <w:rFonts w:ascii="Calibri" w:cs="Calibri" w:eastAsia="Calibri" w:hAnsi="Calibri"/>
                <w:sz w:val="19"/>
                <w:szCs w:val="19"/>
              </w:rPr>
              <w:t xml:space="preserve">AUDIENCE A3</w:t>
            </w:r>
          </w:p>
          <w:p>
            <w:pPr>
              <w:spacing w:after="30"/>
            </w:pPr>
            <w:r>
              <w:rPr>
                <w:rFonts w:ascii="Calibri" w:cs="Calibri" w:eastAsia="Calibri" w:hAnsi="Calibri"/>
                <w:sz w:val="19"/>
                <w:szCs w:val="19"/>
              </w:rPr>
              <w:t xml:space="preserve">mechanistic</w:t>
            </w:r>
          </w:p>
        </w:tc>
        <w:tc>
          <w:tcPr>
            <w:tcW w:type="dxa" w:w="3650"/>
            <w:tcMar>
              <w:top w:type="dxa" w:w="60"/>
              <w:left w:type="dxa" w:w="100"/>
              <w:bottom w:type="dxa" w:w="60"/>
              <w:right w:type="dxa" w:w="100"/>
            </w:tcMar>
          </w:tcPr>
          <w:p>
            <w:pPr>
              <w:spacing w:after="30"/>
            </w:pPr>
            <w:r>
              <w:rPr>
                <w:rFonts w:ascii="Calibri" w:cs="Calibri" w:eastAsia="Calibri" w:hAnsi="Calibri"/>
                <w:sz w:val="19"/>
                <w:szCs w:val="19"/>
              </w:rPr>
              <w:t xml:space="preserve">Belief-probe trajectory: linear probe decoding P(gist proposition true) from residual stream at each checkpoint — the representational analog of A1, and the “cognitive reaction” measure</w:t>
            </w:r>
          </w:p>
        </w:tc>
        <w:tc>
          <w:tcPr>
            <w:tcW w:type="dxa" w:w="3510"/>
            <w:tcMar>
              <w:top w:type="dxa" w:w="60"/>
              <w:left w:type="dxa" w:w="100"/>
              <w:bottom w:type="dxa" w:w="60"/>
              <w:right w:type="dxa" w:w="100"/>
            </w:tcMar>
          </w:tcPr>
          <w:p>
            <w:pPr>
              <w:spacing w:after="30"/>
            </w:pPr>
            <w:r>
              <w:rPr>
                <w:rFonts w:ascii="Calibri" w:cs="Calibri" w:eastAsia="Calibri" w:hAnsi="Calibri"/>
                <w:sz w:val="19"/>
                <w:szCs w:val="19"/>
              </w:rPr>
              <w:t xml:space="preserve">Open-weight audience (recommend 8–14B for activation economy); probe validated on items with known ground truth first</w:t>
            </w:r>
          </w:p>
        </w:tc>
      </w:tr>
      <w:tr>
        <w:tc>
          <w:tcPr>
            <w:tcW w:type="dxa" w:w="2200"/>
            <w:tcMar>
              <w:top w:type="dxa" w:w="60"/>
              <w:left w:type="dxa" w:w="100"/>
              <w:bottom w:type="dxa" w:w="60"/>
              <w:right w:type="dxa" w:w="100"/>
            </w:tcMar>
          </w:tcPr>
          <w:p>
            <w:pPr>
              <w:spacing w:after="30"/>
            </w:pPr>
            <w:r>
              <w:rPr>
                <w:rFonts w:ascii="Calibri" w:cs="Calibri" w:eastAsia="Calibri" w:hAnsi="Calibri"/>
                <w:sz w:val="19"/>
                <w:szCs w:val="19"/>
              </w:rPr>
              <w:t xml:space="preserve">SYSTEM S1</w:t>
            </w:r>
          </w:p>
          <w:p>
            <w:pPr>
              <w:spacing w:after="30"/>
            </w:pPr>
            <w:r>
              <w:rPr>
                <w:rFonts w:ascii="Calibri" w:cs="Calibri" w:eastAsia="Calibri" w:hAnsi="Calibri"/>
                <w:sz w:val="19"/>
                <w:szCs w:val="19"/>
              </w:rPr>
              <w:t xml:space="preserve">dyad/feed level</w:t>
            </w:r>
          </w:p>
        </w:tc>
        <w:tc>
          <w:tcPr>
            <w:tcW w:type="dxa" w:w="3650"/>
            <w:tcMar>
              <w:top w:type="dxa" w:w="60"/>
              <w:left w:type="dxa" w:w="100"/>
              <w:bottom w:type="dxa" w:w="60"/>
              <w:right w:type="dxa" w:w="100"/>
            </w:tcMar>
          </w:tcPr>
          <w:p>
            <w:pPr>
              <w:spacing w:after="30"/>
            </w:pPr>
            <w:r>
              <w:rPr>
                <w:rFonts w:ascii="Calibri" w:cs="Calibri" w:eastAsia="Calibri" w:hAnsi="Calibri"/>
                <w:sz w:val="19"/>
                <w:szCs w:val="19"/>
              </w:rPr>
              <w:t xml:space="preserve">Feed slant per round; audience belief drift; polarization divergence between opposing-persona clones; counterfactual balanced-feed gap; economic harm (surplus loss, decision accuracy)</w:t>
            </w:r>
          </w:p>
        </w:tc>
        <w:tc>
          <w:tcPr>
            <w:tcW w:type="dxa" w:w="3510"/>
            <w:tcMar>
              <w:top w:type="dxa" w:w="60"/>
              <w:left w:type="dxa" w:w="100"/>
              <w:bottom w:type="dxa" w:w="60"/>
              <w:right w:type="dxa" w:w="100"/>
            </w:tcMar>
          </w:tcPr>
          <w:p>
            <w:pPr>
              <w:spacing w:after="30"/>
            </w:pPr>
            <w:r>
              <w:rPr>
                <w:rFonts w:ascii="Calibri" w:cs="Calibri" w:eastAsia="Calibri" w:hAnsi="Calibri"/>
                <w:sz w:val="19"/>
                <w:szCs w:val="19"/>
              </w:rPr>
              <w:t xml:space="preserve">Computed from logs; no extra calls</w:t>
            </w:r>
          </w:p>
        </w:tc>
      </w:tr>
    </w:tbl>
    <w:p>
      <w:pPr>
        <w:spacing w:after="120" w:before="0"/>
      </w:pPr>
      <w:r>
        <w:rPr>
          <w:rFonts w:ascii="Calibri" w:cs="Calibri" w:eastAsia="Calibri" w:hAnsi="Calibri"/>
          <w:sz w:val="21"/>
          <w:szCs w:val="21"/>
        </w:rPr>
        <w:t xml:space="preserve"/>
      </w:r>
    </w:p>
    <w:p>
      <w:pPr>
        <w:spacing w:after="160" w:before="0"/>
      </w:pPr>
      <w:r>
        <w:rPr>
          <w:rFonts w:ascii="Calibri" w:cs="Calibri" w:eastAsia="Calibri" w:hAnsi="Calibri"/>
          <w:sz w:val="21"/>
          <w:szCs w:val="21"/>
        </w:rPr>
        <w:t xml:space="preserve">Notes on the two measurements you proposed. “Linear prob of the seller” is implemented twice: the fork logit Δ (P3a) and the trained linear probe (P3b) — the probe is the more promising after the single-turn Δ null. “Neuron activation of the audience” is implemented as the belief-probe trajectory (A3): single-neuron claims are not defensible at 70B scale, but linear decodability of the gist belief is established methodology and directly answers “what happened inside the audience when the palter landed.”</w:t>
      </w:r>
    </w:p>
    <w:p>
      <w:pPr>
        <w:pStyle w:val="Heading1"/>
        <w:spacing w:after="140" w:before="260"/>
      </w:pPr>
      <w:r>
        <w:rPr>
          <w:rFonts w:ascii="Calibri" w:cs="Calibri" w:eastAsia="Calibri" w:hAnsi="Calibri"/>
          <w:b/>
          <w:bCs/>
          <w:color w:val="1F3864"/>
          <w:sz w:val="28"/>
          <w:szCs w:val="28"/>
        </w:rPr>
        <w:t xml:space="preserve">5. Tactic taxonomy v2</w:t>
      </w:r>
    </w:p>
    <w:p>
      <w:pPr>
        <w:spacing w:after="80" w:before="0"/>
      </w:pPr>
      <w:r>
        <w:rPr>
          <w:rFonts w:ascii="Calibri" w:cs="Calibri" w:eastAsia="Calibri" w:hAnsi="Calibri"/>
          <w:sz w:val="21"/>
          <w:szCs w:val="21"/>
        </w:rPr>
        <w:t xml:space="preserve">Message-level (pilot codes, kept): omission; burial (mention without salience); softening/renaming; decoy transparency (volunteering cheap negatives); unequal information transmission (favorable-fact enrichment); literal-true reassurance (quoting technically-true instruments).</w:t>
      </w:r>
    </w:p>
    <w:p>
      <w:pPr>
        <w:spacing w:after="80" w:before="0"/>
      </w:pPr>
      <w:r>
        <w:rPr>
          <w:rFonts w:ascii="Calibri" w:cs="Calibri" w:eastAsia="Calibri" w:hAnsi="Calibri"/>
          <w:sz w:val="21"/>
          <w:szCs w:val="21"/>
        </w:rPr>
        <w:t xml:space="preserve">Dialog-level (new, Study A): deflection (answering a different question); non-denial evasion; partial concession with reframe; disclosure-then-discount (admit, then neutralize with framing); question-dodging price pivot.</w:t>
      </w:r>
    </w:p>
    <w:p>
      <w:pPr>
        <w:spacing w:after="160" w:before="0"/>
      </w:pPr>
      <w:r>
        <w:rPr>
          <w:rFonts w:ascii="Calibri" w:cs="Calibri" w:eastAsia="Calibri" w:hAnsi="Calibri"/>
          <w:sz w:val="21"/>
          <w:szCs w:val="21"/>
        </w:rPr>
        <w:t xml:space="preserve">Feed-level (new, Study B): selective sampling (base-rate distortion across true items); sequencing/priming; aggregation palter (individually-true items implying a false whole — the composition analog of the m3 clean-test instrument); repetition/availability; engagement-adaptive narrowing (chamber formation proper). Each defined with a programmatic detector where possible (selection ratios, ordering scores, repetition counts) and judge coding where not.</w:t>
      </w:r>
    </w:p>
    <w:p>
      <w:pPr>
        <w:pStyle w:val="Heading1"/>
        <w:spacing w:after="140" w:before="260"/>
      </w:pPr>
      <w:r>
        <w:rPr>
          <w:rFonts w:ascii="Calibri" w:cs="Calibri" w:eastAsia="Calibri" w:hAnsi="Calibri"/>
          <w:b/>
          <w:bCs/>
          <w:color w:val="1F3864"/>
          <w:sz w:val="28"/>
          <w:szCs w:val="28"/>
        </w:rPr>
        <w:t xml:space="preserve">6. Honest feasibility notes (what I changed from your sketch)</w:t>
      </w:r>
    </w:p>
    <w:p>
      <w:pPr>
        <w:pStyle w:val="ListParagraph"/>
        <w:numPr>
          <w:ilvl w:val="0"/>
          <w:numId w:val="2"/>
        </w:numPr>
        <w:spacing w:after="70"/>
      </w:pPr>
      <w:r>
        <w:rPr>
          <w:rFonts w:ascii="Calibri" w:cs="Calibri" w:eastAsia="Calibri" w:hAnsi="Calibri"/>
          <w:sz w:val="21"/>
          <w:szCs w:val="21"/>
        </w:rPr>
        <w:t xml:space="preserve">10,000-item document → topic-indexed retrieval pool. Context windows cannot hold it, and an unmeasured pool defeats the selection-function analysis. The pool is the instrument: known size, known valence composition, so curation is exactly quantifiable.</w:t>
      </w:r>
    </w:p>
    <w:p>
      <w:pPr>
        <w:pStyle w:val="ListParagraph"/>
        <w:numPr>
          <w:ilvl w:val="0"/>
          <w:numId w:val="2"/>
        </w:numPr>
        <w:spacing w:after="70"/>
      </w:pPr>
      <w:r>
        <w:rPr>
          <w:rFonts w:ascii="Calibri" w:cs="Calibri" w:eastAsia="Calibri" w:hAnsi="Calibri"/>
          <w:sz w:val="21"/>
          <w:szCs w:val="21"/>
        </w:rPr>
        <w:t xml:space="preserve">“Neuron activation” → validated linear probes (belief probe for the audience, deception probe for the producer). Frontier API models expose no internals; mechanistic claims are open-weight only, and the paper should present them as the mechanism arm beside the frontier behavioral arm.</w:t>
      </w:r>
    </w:p>
    <w:p>
      <w:pPr>
        <w:pStyle w:val="ListParagraph"/>
        <w:numPr>
          <w:ilvl w:val="0"/>
          <w:numId w:val="2"/>
        </w:numPr>
        <w:spacing w:after="70"/>
      </w:pPr>
      <w:r>
        <w:rPr>
          <w:rFonts w:ascii="Calibri" w:cs="Calibri" w:eastAsia="Calibri" w:hAnsi="Calibri"/>
          <w:sz w:val="21"/>
          <w:szCs w:val="21"/>
        </w:rPr>
        <w:t xml:space="preserve">“Intention to mislead, mechanistically” → triangulation (P2 belief–assertion gap + P3 probes + fork Δ). Intent language invites reviewer fights we cannot win; deception-consistent internal processing is defensible.</w:t>
      </w:r>
    </w:p>
    <w:p>
      <w:pPr>
        <w:pStyle w:val="ListParagraph"/>
        <w:numPr>
          <w:ilvl w:val="0"/>
          <w:numId w:val="2"/>
        </w:numPr>
        <w:spacing w:after="70"/>
      </w:pPr>
      <w:r>
        <w:rPr>
          <w:rFonts w:ascii="Calibri" w:cs="Calibri" w:eastAsia="Calibri" w:hAnsi="Calibri"/>
          <w:sz w:val="21"/>
          <w:szCs w:val="21"/>
        </w:rPr>
        <w:t xml:space="preserve">Free-form negotiation drifts. The protocol fixes turn budget, message roles, and terminal decision; temperature and seeds logged; all transcripts kept.</w:t>
      </w:r>
    </w:p>
    <w:p>
      <w:pPr>
        <w:pStyle w:val="ListParagraph"/>
        <w:numPr>
          <w:ilvl w:val="0"/>
          <w:numId w:val="2"/>
        </w:numPr>
        <w:spacing w:after="70"/>
      </w:pPr>
      <w:r>
        <w:rPr>
          <w:rFonts w:ascii="Calibri" w:cs="Calibri" w:eastAsia="Calibri" w:hAnsi="Calibri"/>
          <w:sz w:val="21"/>
          <w:szCs w:val="21"/>
        </w:rPr>
        <w:t xml:space="preserve">Known risk carried forward: our single-turn fork Δ was null on Llama-70B. The dyadic design's sharpest mechanistic hope is decision-point measurement (the token span right after a direct question). If P1 pilots null again, the mechanistic story rests on the probes and the belief trajectory, which remain informative.</w:t>
      </w:r>
    </w:p>
    <w:p>
      <w:pPr>
        <w:spacing w:after="60" w:before="0"/>
      </w:pPr>
      <w:r>
        <w:rPr>
          <w:rFonts w:ascii="Calibri" w:cs="Calibri" w:eastAsia="Calibri" w:hAnsi="Calibri"/>
          <w:sz w:val="21"/>
          <w:szCs w:val="21"/>
        </w:rPr>
        <w:t xml:space="preserve"/>
      </w:r>
    </w:p>
    <w:p>
      <w:pPr>
        <w:pStyle w:val="Heading1"/>
        <w:spacing w:after="140" w:before="260"/>
      </w:pPr>
      <w:r>
        <w:rPr>
          <w:rFonts w:ascii="Calibri" w:cs="Calibri" w:eastAsia="Calibri" w:hAnsi="Calibri"/>
          <w:b/>
          <w:bCs/>
          <w:color w:val="1F3864"/>
          <w:sz w:val="28"/>
          <w:szCs w:val="28"/>
        </w:rPr>
        <w:t xml:space="preserve">7. Staging and cost</w:t>
      </w:r>
    </w:p>
    <w:p>
      <w:pPr>
        <w:pStyle w:val="ListParagraph"/>
        <w:numPr>
          <w:ilvl w:val="0"/>
          <w:numId w:val="2"/>
        </w:numPr>
        <w:spacing w:after="70"/>
      </w:pPr>
      <w:r>
        <w:rPr>
          <w:rFonts w:ascii="Calibri" w:cs="Calibri" w:eastAsia="Calibri" w:hAnsi="Calibri"/>
          <w:sz w:val="21"/>
          <w:szCs w:val="21"/>
        </w:rPr>
        <w:t xml:space="preserve">P1 (cluster, ~free): decision-point fork Δ + probe training on the 6 pilot scenarios under the 3 norm frames. Go/no-go for P3a.</w:t>
      </w:r>
    </w:p>
    <w:p>
      <w:pPr>
        <w:pStyle w:val="ListParagraph"/>
        <w:numPr>
          <w:ilvl w:val="0"/>
          <w:numId w:val="2"/>
        </w:numPr>
        <w:spacing w:after="70"/>
      </w:pPr>
      <w:r>
        <w:rPr>
          <w:rFonts w:ascii="Calibri" w:cs="Calibri" w:eastAsia="Calibri" w:hAnsi="Calibri"/>
          <w:sz w:val="21"/>
          <w:szCs w:val="21"/>
        </w:rPr>
        <w:t xml:space="preserve">P2 (~$25): Study A behavioral pilot — 3×3 cells × 10 scenarios × 3 seller models, buyer fixed. Deliverables: disclosure τ by norm × diligence, surplus loss, tactic profile.</w:t>
      </w:r>
    </w:p>
    <w:p>
      <w:pPr>
        <w:pStyle w:val="ListParagraph"/>
        <w:numPr>
          <w:ilvl w:val="0"/>
          <w:numId w:val="2"/>
        </w:numPr>
        <w:spacing w:after="70"/>
      </w:pPr>
      <w:r>
        <w:rPr>
          <w:rFonts w:ascii="Calibri" w:cs="Calibri" w:eastAsia="Calibri" w:hAnsi="Calibri"/>
          <w:sz w:val="21"/>
          <w:szCs w:val="21"/>
        </w:rPr>
        <w:t xml:space="preserve">P3 (~$30): Study B pilot — 3 topics × 2 personas × 5 rounds, pool 60 items/topic, one audience + balanced-editor control. Deliverables: slant and belief curves, verification-evasion test.</w:t>
      </w:r>
    </w:p>
    <w:p>
      <w:pPr>
        <w:pStyle w:val="ListParagraph"/>
        <w:numPr>
          <w:ilvl w:val="0"/>
          <w:numId w:val="2"/>
        </w:numPr>
        <w:spacing w:after="70"/>
      </w:pPr>
      <w:r>
        <w:rPr>
          <w:rFonts w:ascii="Calibri" w:cs="Calibri" w:eastAsia="Calibri" w:hAnsi="Calibri"/>
          <w:sz w:val="21"/>
          <w:szCs w:val="21"/>
        </w:rPr>
        <w:t xml:space="preserve">Scale decisions after pilots; the 100-marketplace / 1,000-misinfo scenario sets under construction become the scenario and pool source.</w:t>
      </w:r>
    </w:p>
    <w:p>
      <w:pPr>
        <w:spacing w:after="60" w:before="0"/>
      </w:pPr>
      <w:r>
        <w:rPr>
          <w:rFonts w:ascii="Calibri" w:cs="Calibri" w:eastAsia="Calibri" w:hAnsi="Calibri"/>
          <w:sz w:val="21"/>
          <w:szCs w:val="21"/>
        </w:rPr>
        <w:t xml:space="preserve"/>
      </w:r>
    </w:p>
    <w:p>
      <w:pPr>
        <w:pStyle w:val="Heading1"/>
        <w:spacing w:after="140" w:before="260"/>
      </w:pPr>
      <w:r>
        <w:rPr>
          <w:rFonts w:ascii="Calibri" w:cs="Calibri" w:eastAsia="Calibri" w:hAnsi="Calibri"/>
          <w:b/>
          <w:bCs/>
          <w:color w:val="1F3864"/>
          <w:sz w:val="28"/>
          <w:szCs w:val="28"/>
        </w:rPr>
        <w:t xml:space="preserve">8. One-paragraph positioning</w:t>
      </w:r>
    </w:p>
    <w:p>
      <w:pPr>
        <w:spacing w:after="100" w:before="0"/>
      </w:pPr>
      <w:r>
        <w:rPr>
          <w:rFonts w:ascii="Calibri" w:cs="Calibri" w:eastAsia="Calibri" w:hAnsi="Calibri"/>
          <w:sz w:val="21"/>
          <w:szCs w:val="21"/>
        </w:rPr>
        <w:t xml:space="preserve">Against JANUS: they score a single institutional monologue on five text properties and find rhetorical distortion without selective omission; we instrument both sides of an interaction, ground truth in real fact-checked material, measure the recipient's induced gist against an honest counterfactual, add norm and vigilance factors from deception psychology, and read the internals of both agents where weights permit. Against MASK/Machine Bullshit: they elicit beliefs and label single outputs; we close the loop to consequences — prices paid, verification evaded, chambers formed. The claim the design supports: models palter under principal pressure, human-like norms modulate it, recipients' verification habits are systematically evaded by exactly the tactic that leaves no false fact to check, and the result is measurable belief distortion and economic harm in interaction, not just misleading text.</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lvl w:ilvl="1" w15:tentative="1">
      <w:start w:val="1"/>
      <w:numFmt w:val="bullet"/>
      <w:lvlText w:val="•"/>
      <w:lvlJc w:val="start"/>
      <w:pPr>
        <w:ind w:left="6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2026-08-17T05:04:47.481Z</dcterms:created>
  <dcterms:modified xsi:type="dcterms:W3CDTF">2026-08-17T05:04:47.482Z</dcterms:modified>
</cp:coreProperties>
</file>

<file path=docProps/custom.xml><?xml version="1.0" encoding="utf-8"?>
<Properties xmlns="http://schemas.openxmlformats.org/officeDocument/2006/custom-properties" xmlns:vt="http://schemas.openxmlformats.org/officeDocument/2006/docPropsVTypes"/>
</file>