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C328" w14:textId="77777777" w:rsidR="006D1F5E" w:rsidRDefault="00D7378C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Stochastic Process, </w:t>
      </w:r>
    </w:p>
    <w:p w14:paraId="1CEBF295" w14:textId="73D0CDB0" w:rsidR="00D7378C" w:rsidRDefault="006D1F5E" w:rsidP="006D1F5E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S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ubset of 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“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dynamic random states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”</w:t>
      </w:r>
      <w:r w:rsidR="005921F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model family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. 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State is a possible outcome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States = 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finite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possible outcomes. 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State 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and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time either d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iscrete/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c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ontinuous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. Stochastic process describes</w:t>
      </w:r>
      <w:r w:rsidR="005921F8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time-dependent states of a system.</w:t>
      </w:r>
    </w:p>
    <w:p w14:paraId="249AC175" w14:textId="54EFB99A" w:rsidR="00FF1891" w:rsidRDefault="00FF1891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A random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(any)</w:t>
      </w:r>
      <w:r w:rsidR="0054269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event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has a chance of happening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; 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Probability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measure of that chance.</w:t>
      </w:r>
    </w:p>
    <w:p w14:paraId="041B6A71" w14:textId="6017ADEC" w:rsidR="00407C56" w:rsidRDefault="00407C56" w:rsidP="00407C56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Markov Chain, if stage = time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;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Markov Random Field, if stage = space</w:t>
      </w:r>
    </w:p>
    <w:p w14:paraId="154C3CFF" w14:textId="7B813BEC" w:rsidR="0054269B" w:rsidRDefault="00FF1891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Random variable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A372C7">
        <w:rPr>
          <w:rFonts w:ascii="Arial" w:hAnsi="Arial" w:cs="Arial"/>
          <w:color w:val="252525"/>
          <w:sz w:val="20"/>
          <w:szCs w:val="20"/>
          <w:shd w:val="clear" w:color="auto" w:fill="FFFFFF"/>
        </w:rPr>
        <w:t>as a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f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>unction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, X(t)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FF1891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receive a rando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m event</w:t>
      </w:r>
      <w:r w:rsidR="0054269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(e.g. news)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return a real number. 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A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897920">
        <w:rPr>
          <w:rFonts w:ascii="Arial" w:hAnsi="Arial" w:cs="Arial"/>
          <w:color w:val="252525"/>
          <w:sz w:val="20"/>
          <w:szCs w:val="20"/>
          <w:shd w:val="clear" w:color="auto" w:fill="FFFFFF"/>
        </w:rPr>
        <w:t>s</w:t>
      </w:r>
      <w:r w:rsidR="004869FA">
        <w:rPr>
          <w:rFonts w:ascii="Arial" w:hAnsi="Arial" w:cs="Arial"/>
          <w:color w:val="252525"/>
          <w:sz w:val="20"/>
          <w:szCs w:val="20"/>
          <w:shd w:val="clear" w:color="auto" w:fill="FFFFFF"/>
        </w:rPr>
        <w:t>tate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.</w:t>
      </w:r>
    </w:p>
    <w:p w14:paraId="27E4C90B" w14:textId="5F38E686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X:Omega</w:t>
      </w:r>
      <w:proofErr w:type="gram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-&gt; E </w:t>
      </w:r>
    </w:p>
    <w:p w14:paraId="3A69DA88" w14:textId="2692EF5A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X is a Measurable function, form</w:t>
      </w:r>
    </w:p>
    <w:p w14:paraId="0DA67C10" w14:textId="72847C23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A Set of Possible outcomes</w:t>
      </w:r>
      <w:proofErr w:type="gram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Omega, to </w:t>
      </w:r>
    </w:p>
    <w:p w14:paraId="77F4EAAA" w14:textId="4F55E641" w:rsidR="00A372C7" w:rsidRDefault="00A372C7" w:rsidP="00A372C7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A Measurable space = E</w:t>
      </w:r>
    </w:p>
    <w:p w14:paraId="0265D60C" w14:textId="6ACA9912" w:rsidR="00D7378C" w:rsidRDefault="0054269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Each 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realization </w:t>
      </w:r>
      <w:proofErr w:type="spellStart"/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</w:rPr>
        <w:t>x</w:t>
      </w:r>
      <w:r w:rsidR="00D7378C">
        <w:rPr>
          <w:rFonts w:ascii="Arial" w:hAnsi="Arial" w:cs="Arial"/>
          <w:color w:val="252525"/>
          <w:sz w:val="20"/>
          <w:szCs w:val="20"/>
          <w:shd w:val="clear" w:color="auto" w:fill="FFFFFF"/>
          <w:vertAlign w:val="subscript"/>
        </w:rPr>
        <w:t>k</w:t>
      </w:r>
      <w:proofErr w:type="spellEnd"/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="006B687B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6B687B">
        <w:rPr>
          <w:rFonts w:ascii="Arial" w:hAnsi="Arial" w:cs="Arial"/>
          <w:color w:val="252525"/>
          <w:sz w:val="20"/>
          <w:szCs w:val="20"/>
          <w:shd w:val="clear" w:color="auto" w:fill="FFFFFF"/>
        </w:rPr>
        <w:t>(i.e. Markov Chain)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produce diff results. </w:t>
      </w:r>
      <w:r w:rsidR="00E20ACA">
        <w:rPr>
          <w:rFonts w:ascii="Arial" w:hAnsi="Arial" w:cs="Arial"/>
          <w:color w:val="252525"/>
          <w:sz w:val="20"/>
          <w:szCs w:val="20"/>
          <w:shd w:val="clear" w:color="auto" w:fill="FFFFFF"/>
        </w:rPr>
        <w:t>R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esult</w:t>
      </w:r>
      <w:r w:rsidR="00E20ACA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s </w:t>
      </w:r>
      <w:r w:rsidR="006C4144">
        <w:rPr>
          <w:rFonts w:ascii="Arial" w:hAnsi="Arial" w:cs="Arial"/>
          <w:color w:val="252525"/>
          <w:sz w:val="20"/>
          <w:szCs w:val="20"/>
          <w:shd w:val="clear" w:color="auto" w:fill="FFFFFF"/>
        </w:rPr>
        <w:t>forms functiona</w:t>
      </w:r>
      <w:r w:rsidR="00B34BFB">
        <w:rPr>
          <w:rFonts w:ascii="Arial" w:hAnsi="Arial" w:cs="Arial"/>
          <w:color w:val="252525"/>
          <w:sz w:val="20"/>
          <w:szCs w:val="20"/>
          <w:shd w:val="clear" w:color="auto" w:fill="FFFFFF"/>
        </w:rPr>
        <w:t>l space of the random function.</w:t>
      </w:r>
    </w:p>
    <w:p w14:paraId="795F31B6" w14:textId="085C0529" w:rsidR="00AA3D1B" w:rsidRDefault="00AA3D1B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Brownian Motion</w:t>
      </w:r>
      <w:r w:rsidR="007332F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aka. </w:t>
      </w:r>
      <w:r w:rsidR="003B5EFB">
        <w:rPr>
          <w:rFonts w:ascii="Arial" w:hAnsi="Arial" w:cs="Arial"/>
          <w:color w:val="252525"/>
          <w:sz w:val="20"/>
          <w:szCs w:val="20"/>
          <w:shd w:val="clear" w:color="auto" w:fill="FFFFFF"/>
        </w:rPr>
        <w:t>Wiener Process</w:t>
      </w:r>
    </w:p>
    <w:p w14:paraId="4C97A49B" w14:textId="0BE8B492" w:rsidR="003B5EFB" w:rsidRDefault="003B5EFB" w:rsidP="003B5EF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70" w:lineRule="atLeast"/>
        <w:ind w:left="810"/>
        <w:jc w:val="both"/>
        <w:textAlignment w:val="baseline"/>
        <w:rPr>
          <w:rFonts w:ascii="inherit" w:hAnsi="inherit" w:cs="Arial"/>
          <w:color w:val="252525"/>
          <w:sz w:val="18"/>
          <w:szCs w:val="18"/>
        </w:rPr>
      </w:pP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</w:rPr>
        <w:t>W</w:t>
      </w:r>
      <w:r>
        <w:rPr>
          <w:rStyle w:val="mn"/>
          <w:rFonts w:ascii="MathJax_Main" w:hAnsi="MathJax_Main" w:cs="Arial"/>
          <w:color w:val="252525"/>
          <w:sz w:val="17"/>
          <w:szCs w:val="17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0</w:t>
      </w:r>
    </w:p>
    <w:p w14:paraId="70929E8E" w14:textId="6A992396" w:rsidR="003B5EFB" w:rsidRDefault="003B5EFB" w:rsidP="003B5EF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70" w:lineRule="atLeast"/>
        <w:ind w:left="810"/>
        <w:jc w:val="both"/>
        <w:textAlignment w:val="baseline"/>
        <w:rPr>
          <w:rFonts w:ascii="inherit" w:hAnsi="inherit" w:cs="Arial"/>
          <w:color w:val="252525"/>
          <w:sz w:val="18"/>
          <w:szCs w:val="18"/>
        </w:rPr>
      </w:pPr>
      <w:r>
        <w:rPr>
          <w:rFonts w:ascii="inherit" w:hAnsi="inherit" w:cs="Arial"/>
          <w:color w:val="252525"/>
          <w:sz w:val="20"/>
          <w:szCs w:val="20"/>
          <w:bdr w:val="none" w:sz="0" w:space="0" w:color="auto" w:frame="1"/>
        </w:rPr>
        <w:t>The function </w:t>
      </w:r>
      <w:proofErr w:type="spellStart"/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→</w:t>
      </w: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</w:rPr>
        <w:t>t</w:t>
      </w:r>
      <w:proofErr w:type="spellEnd"/>
      <w:r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</w:rPr>
        <w:t xml:space="preserve"> </w:t>
      </w:r>
      <w:r>
        <w:rPr>
          <w:rFonts w:ascii="inherit" w:hAnsi="inherit" w:cs="Arial"/>
          <w:color w:val="252525"/>
          <w:sz w:val="20"/>
          <w:szCs w:val="20"/>
          <w:bdr w:val="none" w:sz="0" w:space="0" w:color="auto" w:frame="1"/>
        </w:rPr>
        <w:t>is continuous</w:t>
      </w:r>
    </w:p>
    <w:p w14:paraId="02350560" w14:textId="62B65DAC" w:rsidR="007332FC" w:rsidRPr="007332FC" w:rsidRDefault="003B5EFB" w:rsidP="007332FC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70" w:lineRule="atLeast"/>
        <w:ind w:left="810"/>
        <w:jc w:val="both"/>
        <w:textAlignment w:val="baseline"/>
        <w:rPr>
          <w:rFonts w:ascii="inherit" w:hAnsi="inherit" w:cs="Arial"/>
          <w:color w:val="252525"/>
          <w:sz w:val="18"/>
          <w:szCs w:val="18"/>
        </w:rPr>
      </w:pPr>
      <w:proofErr w:type="spellStart"/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</w:rPr>
        <w:t>W</w:t>
      </w:r>
      <w:r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</w:rPr>
        <w:t>t</w:t>
      </w:r>
      <w:proofErr w:type="spellEnd"/>
      <w:r>
        <w:rPr>
          <w:rFonts w:ascii="inherit" w:hAnsi="inherit" w:cs="Arial"/>
          <w:color w:val="252525"/>
          <w:sz w:val="20"/>
          <w:szCs w:val="20"/>
          <w:bdr w:val="none" w:sz="0" w:space="0" w:color="auto" w:frame="1"/>
        </w:rPr>
        <w:t> has independent normally distributed increments i.e. </w:t>
      </w:r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</w:rPr>
        <w:t>Wt−Ws</w:t>
      </w:r>
      <w:proofErr w:type="spellEnd"/>
      <w:r>
        <w:rPr>
          <w:rFonts w:ascii="inherit" w:hAnsi="inherit" w:cs="Arial"/>
          <w:color w:val="252525"/>
          <w:sz w:val="20"/>
          <w:szCs w:val="20"/>
          <w:bdr w:val="none" w:sz="0" w:space="0" w:color="auto" w:frame="1"/>
        </w:rPr>
        <w:t> ~ </w:t>
      </w: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mn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</w:rPr>
        <w:t>t</w:t>
      </w:r>
      <w:proofErr w:type="gramEnd"/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</w:rPr>
        <w:t>s</w:t>
      </w:r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</w:rPr>
        <w:t>)</w:t>
      </w:r>
    </w:p>
    <w:p w14:paraId="78D0EAA1" w14:textId="77777777" w:rsidR="003B5EFB" w:rsidRDefault="003B5EFB" w:rsidP="003B5EFB">
      <w:pPr>
        <w:ind w:left="36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14:paraId="46CDB8C4" w14:textId="3902702A" w:rsidR="00AA3D1B" w:rsidRDefault="007332FC" w:rsidP="007332FC">
      <w:pPr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Geometric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Brownian Motion</w:t>
      </w:r>
    </w:p>
    <w:p w14:paraId="11826B26" w14:textId="4D3EA181" w:rsidR="00AA3D1B" w:rsidRDefault="007332FC" w:rsidP="007332FC">
      <w:pPr>
        <w:ind w:left="720"/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  <w:shd w:val="clear" w:color="auto" w:fill="FFFFFF"/>
        </w:rPr>
      </w:pPr>
      <w:proofErr w:type="spellStart"/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  <w:shd w:val="clear" w:color="auto" w:fill="FFFFFF"/>
        </w:rPr>
        <w:t>dS</w:t>
      </w:r>
      <w:r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  <w:shd w:val="clear" w:color="auto" w:fill="FFFFFF"/>
        </w:rPr>
        <w:t>t</w:t>
      </w:r>
      <w:proofErr w:type="spellEnd"/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  <w:shd w:val="clear" w:color="auto" w:fill="FFFFFF"/>
        </w:rPr>
        <w:t>μS</w:t>
      </w:r>
      <w:r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  <w:shd w:val="clear" w:color="auto" w:fill="FFFFFF"/>
        </w:rPr>
        <w:t>t</w:t>
      </w: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  <w:shd w:val="clear" w:color="auto" w:fill="FFFFFF"/>
        </w:rPr>
        <w:t>dt</w:t>
      </w:r>
      <w:r>
        <w:rPr>
          <w:rStyle w:val="mo"/>
          <w:rFonts w:ascii="MathJax_Main" w:hAnsi="MathJax_Main" w:cs="Arial"/>
          <w:color w:val="252525"/>
          <w:sz w:val="23"/>
          <w:szCs w:val="23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  <w:shd w:val="clear" w:color="auto" w:fill="FFFFFF"/>
        </w:rPr>
        <w:t>σdS</w:t>
      </w:r>
      <w:r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  <w:shd w:val="clear" w:color="auto" w:fill="FFFFFF"/>
        </w:rPr>
        <w:t>t</w:t>
      </w:r>
      <w:r>
        <w:rPr>
          <w:rStyle w:val="mi"/>
          <w:rFonts w:ascii="MathJax_Math-italic" w:hAnsi="MathJax_Math-italic" w:cs="Arial"/>
          <w:color w:val="252525"/>
          <w:sz w:val="23"/>
          <w:szCs w:val="23"/>
          <w:bdr w:val="none" w:sz="0" w:space="0" w:color="auto" w:frame="1"/>
          <w:shd w:val="clear" w:color="auto" w:fill="FFFFFF"/>
        </w:rPr>
        <w:t>W</w:t>
      </w:r>
      <w:r>
        <w:rPr>
          <w:rStyle w:val="mi"/>
          <w:rFonts w:ascii="MathJax_Math-italic" w:hAnsi="MathJax_Math-italic" w:cs="Arial"/>
          <w:color w:val="252525"/>
          <w:sz w:val="17"/>
          <w:szCs w:val="17"/>
          <w:bdr w:val="none" w:sz="0" w:space="0" w:color="auto" w:frame="1"/>
          <w:shd w:val="clear" w:color="auto" w:fill="FFFFFF"/>
        </w:rPr>
        <w:t>t</w:t>
      </w:r>
      <w:proofErr w:type="spellEnd"/>
    </w:p>
    <w:p w14:paraId="0EAD2D0D" w14:textId="6C6E4A05" w:rsidR="007332FC" w:rsidRDefault="007332FC" w:rsidP="007332FC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proofErr w:type="spellStart"/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  <w:shd w:val="clear" w:color="auto" w:fill="FFFFFF"/>
        </w:rPr>
        <w:t>dSt</w:t>
      </w:r>
      <w:proofErr w:type="spell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 is the change in the asset price, </w:t>
      </w:r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  <w:shd w:val="clear" w:color="auto" w:fill="FFFFFF"/>
        </w:rPr>
        <w:t>S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 at time </w:t>
      </w:r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  <w:shd w:val="clear" w:color="auto" w:fill="FFFFFF"/>
        </w:rPr>
        <w:t>t</w:t>
      </w:r>
    </w:p>
    <w:p w14:paraId="10670BC1" w14:textId="03A7D97E" w:rsidR="007332FC" w:rsidRDefault="007332FC" w:rsidP="007332FC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  <w:shd w:val="clear" w:color="auto" w:fill="FFFFFF"/>
        </w:rPr>
        <w:t>μ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 is the perc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entage drift expected per annum</w:t>
      </w:r>
    </w:p>
    <w:p w14:paraId="0B07DD11" w14:textId="77777777" w:rsidR="007332FC" w:rsidRDefault="007332FC" w:rsidP="007332FC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proofErr w:type="spellStart"/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, represents time (</w:t>
      </w:r>
      <w:r>
        <w:rPr>
          <w:rStyle w:val="mn"/>
          <w:rFonts w:ascii="MathJax_Main" w:hAnsi="MathJax_Main" w:cs="Arial"/>
          <w:color w:val="252525"/>
          <w:sz w:val="17"/>
          <w:szCs w:val="17"/>
          <w:bdr w:val="none" w:sz="0" w:space="0" w:color="auto" w:frame="1"/>
          <w:shd w:val="clear" w:color="auto" w:fill="FFFFFF"/>
        </w:rPr>
        <w:t>1/252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 is used for daily changes)</w:t>
      </w:r>
    </w:p>
    <w:p w14:paraId="39032453" w14:textId="77777777" w:rsidR="007332FC" w:rsidRDefault="007332FC" w:rsidP="007332FC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  <w:shd w:val="clear" w:color="auto" w:fill="FFFFFF"/>
        </w:rPr>
        <w:t>σ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 is the daily volatility expected in the asset prices, </w:t>
      </w:r>
    </w:p>
    <w:p w14:paraId="76C6A0C2" w14:textId="71700B1D" w:rsidR="007332FC" w:rsidRDefault="007332FC" w:rsidP="007332FC">
      <w:pPr>
        <w:ind w:left="72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proofErr w:type="spellStart"/>
      <w:r>
        <w:rPr>
          <w:rStyle w:val="mjxassistivemathml"/>
          <w:rFonts w:ascii="inherit" w:hAnsi="inherit" w:cs="Arial"/>
          <w:color w:val="252525"/>
          <w:sz w:val="20"/>
          <w:szCs w:val="20"/>
          <w:bdr w:val="none" w:sz="0" w:space="0" w:color="auto" w:frame="1"/>
          <w:shd w:val="clear" w:color="auto" w:fill="FFFFFF"/>
        </w:rPr>
        <w:t>Wt</w:t>
      </w:r>
      <w:proofErr w:type="spellEnd"/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 is a Wiener process</w:t>
      </w:r>
      <w:bookmarkStart w:id="0" w:name="_GoBack"/>
      <w:bookmarkEnd w:id="0"/>
    </w:p>
    <w:sectPr w:rsidR="007332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4121"/>
    <w:multiLevelType w:val="multilevel"/>
    <w:tmpl w:val="8952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1"/>
    <w:rsid w:val="00066D89"/>
    <w:rsid w:val="003B44D8"/>
    <w:rsid w:val="003B5EFB"/>
    <w:rsid w:val="00407C56"/>
    <w:rsid w:val="004869FA"/>
    <w:rsid w:val="0054269B"/>
    <w:rsid w:val="005921F8"/>
    <w:rsid w:val="005945BA"/>
    <w:rsid w:val="006B687B"/>
    <w:rsid w:val="006C4144"/>
    <w:rsid w:val="006C7437"/>
    <w:rsid w:val="006D1F5E"/>
    <w:rsid w:val="007332FC"/>
    <w:rsid w:val="00742E6E"/>
    <w:rsid w:val="00897920"/>
    <w:rsid w:val="00A372C7"/>
    <w:rsid w:val="00AA3D1B"/>
    <w:rsid w:val="00AE3D95"/>
    <w:rsid w:val="00B34BFB"/>
    <w:rsid w:val="00D7378C"/>
    <w:rsid w:val="00E20ACA"/>
    <w:rsid w:val="00ED0FAC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E59A"/>
  <w15:chartTrackingRefBased/>
  <w15:docId w15:val="{592C2BCB-7844-4A9E-AF91-4C913CF5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891"/>
    <w:rPr>
      <w:color w:val="0000FF"/>
      <w:u w:val="single"/>
    </w:rPr>
  </w:style>
  <w:style w:type="character" w:customStyle="1" w:styleId="mi">
    <w:name w:val="mi"/>
    <w:basedOn w:val="DefaultParagraphFont"/>
    <w:rsid w:val="003B5EFB"/>
  </w:style>
  <w:style w:type="character" w:customStyle="1" w:styleId="mn">
    <w:name w:val="mn"/>
    <w:basedOn w:val="DefaultParagraphFont"/>
    <w:rsid w:val="003B5EFB"/>
  </w:style>
  <w:style w:type="character" w:customStyle="1" w:styleId="mo">
    <w:name w:val="mo"/>
    <w:basedOn w:val="DefaultParagraphFont"/>
    <w:rsid w:val="003B5EFB"/>
  </w:style>
  <w:style w:type="character" w:customStyle="1" w:styleId="mjxassistivemathml">
    <w:name w:val="mjx_assistive_mathml"/>
    <w:basedOn w:val="DefaultParagraphFont"/>
    <w:rsid w:val="003B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Poon</dc:creator>
  <cp:keywords/>
  <dc:description/>
  <cp:lastModifiedBy>Ivan Poon</cp:lastModifiedBy>
  <cp:revision>11</cp:revision>
  <dcterms:created xsi:type="dcterms:W3CDTF">2018-03-08T06:47:00Z</dcterms:created>
  <dcterms:modified xsi:type="dcterms:W3CDTF">2018-03-08T09:04:00Z</dcterms:modified>
</cp:coreProperties>
</file>