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Treatment Center Counts as Associated with Substance Use Prevalence: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Investigating Differences by Profit Status</w:t>
      </w:r>
    </w:p>
    <w:p w:rsidR="00000000" w:rsidDel="00000000" w:rsidP="00000000" w:rsidRDefault="00000000" w:rsidRPr="00000000" w14:paraId="00000004">
      <w:pPr>
        <w:spacing w:line="480" w:lineRule="auto"/>
        <w:jc w:val="center"/>
        <w:rPr>
          <w:rFonts w:ascii="Times New Roman" w:cs="Times New Roman" w:eastAsia="Times New Roman" w:hAnsi="Times New Roman"/>
          <w:strike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Bailey Wellen Osweiler BA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Mark-Daniels Tamakloe </w:t>
      </w:r>
      <w:r w:rsidDel="00000000" w:rsidR="00000000" w:rsidRPr="00000000">
        <w:rPr>
          <w:rtl w:val="0"/>
        </w:rPr>
        <w:t xml:space="preserve">MS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Joseph Eshun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[senior author here]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Code available on GitHub:</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u w:val="single"/>
            <w:rtl w:val="0"/>
          </w:rPr>
          <w:t xml:space="preserve">https://github.com/baileywellen/sud_treatment_profitstatus</w:t>
        </w:r>
      </w:hyperlink>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t xml:space="preserve">July 25, 2024</w:t>
      </w:r>
      <w:r w:rsidDel="00000000" w:rsidR="00000000" w:rsidRPr="00000000">
        <w:rPr>
          <w:rtl w:val="0"/>
        </w:rPr>
      </w:r>
    </w:p>
    <w:p w:rsidR="00000000" w:rsidDel="00000000" w:rsidP="00000000" w:rsidRDefault="00000000" w:rsidRPr="00000000" w14:paraId="00000007">
      <w:pPr>
        <w:pStyle w:val="Heading3"/>
        <w:rPr/>
      </w:pPr>
      <w:bookmarkStart w:colFirst="0" w:colLast="0" w:name="_7d8juobby9dp" w:id="0"/>
      <w:bookmarkEnd w:id="0"/>
      <w:r w:rsidDel="00000000" w:rsidR="00000000" w:rsidRPr="00000000">
        <w:rPr>
          <w:rtl w:val="0"/>
        </w:rPr>
        <w:t xml:space="preserve"> Affiliations: </w:t>
      </w:r>
    </w:p>
    <w:p w:rsidR="00000000" w:rsidDel="00000000" w:rsidP="00000000" w:rsidRDefault="00000000" w:rsidRPr="00000000" w14:paraId="00000008">
      <w:pPr>
        <w:spacing w:line="480" w:lineRule="auto"/>
        <w:rPr>
          <w:vertAlign w:val="superscript"/>
        </w:rPr>
      </w:pPr>
      <w:r w:rsidDel="00000000" w:rsidR="00000000" w:rsidRPr="00000000">
        <w:rPr>
          <w:rtl w:val="0"/>
        </w:rPr>
        <w:t xml:space="preserve">Washington University in St. Louis, McKelvey School of Engineering</w:t>
      </w:r>
      <w:r w:rsidDel="00000000" w:rsidR="00000000" w:rsidRPr="00000000">
        <w:rPr>
          <w:vertAlign w:val="superscript"/>
          <w:rtl w:val="0"/>
        </w:rPr>
        <w:t xml:space="preserve">1</w:t>
      </w:r>
    </w:p>
    <w:p w:rsidR="00000000" w:rsidDel="00000000" w:rsidP="00000000" w:rsidRDefault="00000000" w:rsidRPr="00000000" w14:paraId="00000009">
      <w:pPr>
        <w:rPr>
          <w:vertAlign w:val="superscript"/>
        </w:rPr>
      </w:pPr>
      <w:r w:rsidDel="00000000" w:rsidR="00000000" w:rsidRPr="00000000">
        <w:rPr>
          <w:rtl w:val="0"/>
        </w:rPr>
        <w:t xml:space="preserve">University of Hawai’i at Manoa, Department of Economics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t xml:space="preserve">Washington University in St. Louis, Brown School of Social Work</w:t>
      </w:r>
      <w:r w:rsidDel="00000000" w:rsidR="00000000" w:rsidRPr="00000000">
        <w:rPr>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Style w:val="Heading3"/>
        <w:rPr/>
      </w:pPr>
      <w:bookmarkStart w:colFirst="0" w:colLast="0" w:name="_uvf01c43fl2" w:id="1"/>
      <w:bookmarkEnd w:id="1"/>
      <w:r w:rsidDel="00000000" w:rsidR="00000000" w:rsidRPr="00000000">
        <w:rPr>
          <w:rtl w:val="0"/>
        </w:rPr>
        <w:t xml:space="preserve">Funding: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described was supported by Grant Number T32DA015035 from the National Institute on Drug Abuse. The content is solely the responsibility of the authors and does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not necessarily represent the official views of the National Institute on Drug Abuse or the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National Institutes of Health.</w:t>
      </w:r>
    </w:p>
    <w:p w:rsidR="00000000" w:rsidDel="00000000" w:rsidP="00000000" w:rsidRDefault="00000000" w:rsidRPr="00000000" w14:paraId="0000000D">
      <w:pPr>
        <w:pStyle w:val="Heading3"/>
        <w:rPr/>
      </w:pPr>
      <w:bookmarkStart w:colFirst="0" w:colLast="0" w:name="_y65p6x66aqin" w:id="2"/>
      <w:bookmarkEnd w:id="2"/>
      <w:r w:rsidDel="00000000" w:rsidR="00000000" w:rsidRPr="00000000">
        <w:rPr>
          <w:rtl w:val="0"/>
        </w:rPr>
        <w:t xml:space="preserve">Candidate Journals: </w:t>
      </w:r>
    </w:p>
    <w:p w:rsidR="00000000" w:rsidDel="00000000" w:rsidP="00000000" w:rsidRDefault="00000000" w:rsidRPr="00000000" w14:paraId="0000000E">
      <w:pPr>
        <w:spacing w:line="480" w:lineRule="auto"/>
        <w:jc w:val="left"/>
        <w:rPr/>
      </w:pPr>
      <w:r w:rsidDel="00000000" w:rsidR="00000000" w:rsidRPr="00000000">
        <w:rPr>
          <w:rtl w:val="0"/>
        </w:rPr>
        <w:t xml:space="preserve">Health Affairs (</w:t>
      </w:r>
      <w:hyperlink r:id="rId9">
        <w:r w:rsidDel="00000000" w:rsidR="00000000" w:rsidRPr="00000000">
          <w:rPr>
            <w:color w:val="1155cc"/>
            <w:u w:val="single"/>
            <w:rtl w:val="0"/>
          </w:rPr>
          <w:t xml:space="preserve">https://www.healthaffairs.org/help-for-authors/journal/new-article-requirements</w:t>
        </w:r>
      </w:hyperlink>
      <w:r w:rsidDel="00000000" w:rsidR="00000000" w:rsidRPr="00000000">
        <w:rPr>
          <w:rtl w:val="0"/>
        </w:rPr>
        <w:t xml:space="preserve">), </w:t>
      </w:r>
      <w:commentRangeStart w:id="0"/>
      <w:commentRangeStart w:id="1"/>
      <w:r w:rsidDel="00000000" w:rsidR="00000000" w:rsidRPr="00000000">
        <w:rPr>
          <w:rtl w:val="0"/>
        </w:rPr>
        <w:t xml:space="preserve">Journal of Substance Abuse Treatment (</w:t>
      </w:r>
      <w:hyperlink r:id="rId10">
        <w:r w:rsidDel="00000000" w:rsidR="00000000" w:rsidRPr="00000000">
          <w:rPr>
            <w:u w:val="single"/>
            <w:rtl w:val="0"/>
          </w:rPr>
          <w:t xml:space="preserve">https://www.sciencedirect.com/journal/journal-of-substance-abuse-treatment</w:t>
        </w:r>
      </w:hyperlink>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Journal of Mental Health Policy and Economics</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u w:val="single"/>
            <w:rtl w:val="0"/>
          </w:rPr>
          <w:t xml:space="preserve">http://www.icmpe.org/test1/journal/journal.htm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pStyle w:val="Heading1"/>
        <w:keepNext w:val="0"/>
        <w:keepLines w:val="0"/>
        <w:spacing w:after="80" w:before="0" w:line="479.9997000000001" w:lineRule="auto"/>
        <w:rPr/>
      </w:pPr>
      <w:bookmarkStart w:colFirst="0" w:colLast="0" w:name="_kgmmg83apdx4" w:id="3"/>
      <w:bookmarkEnd w:id="3"/>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This study examines the relationship between the presence of treatment facilities for substance use disorder (SUD) and the prevalence of drug use in the United States. The study considers the profit status of the treatment facilities and examines variability across states and years spanning from 2014 to 2019.</w:t>
      </w:r>
    </w:p>
    <w:p w:rsidR="00000000" w:rsidDel="00000000" w:rsidP="00000000" w:rsidRDefault="00000000" w:rsidRPr="00000000" w14:paraId="00000011">
      <w:pPr>
        <w:ind w:firstLine="720"/>
        <w:rPr/>
      </w:pPr>
      <w:r w:rsidDel="00000000" w:rsidR="00000000" w:rsidRPr="00000000">
        <w:rPr>
          <w:rtl w:val="0"/>
        </w:rPr>
        <w:t xml:space="preserve">We employ a mixed effects generalized linear model with negative binomial link function using data obtained from the National Survey on Drug Use and Health (NSDUH) and the National Survey on Substance Abuse Treatment Services (NSSATS). The results of our study indicate a strong positive relationship between the prevalence of drug use and the number of for-profit treatment centers. However, we did not uncover a significant association between drug usage and the number of non-profit and government treatment centers. This implies that treatment centers that operate for profit are more adaptable to fluctuations in the demand for substance use disorder treatment.</w:t>
      </w:r>
    </w:p>
    <w:p w:rsidR="00000000" w:rsidDel="00000000" w:rsidP="00000000" w:rsidRDefault="00000000" w:rsidRPr="00000000" w14:paraId="00000012">
      <w:pPr>
        <w:ind w:firstLine="720"/>
        <w:rPr/>
      </w:pPr>
      <w:r w:rsidDel="00000000" w:rsidR="00000000" w:rsidRPr="00000000">
        <w:rPr>
          <w:rtl w:val="0"/>
        </w:rPr>
        <w:t xml:space="preserve">Control variables such as state population, income, healthcare spending, and demographic parameters were taken into consideration. The study offers valuable insights into how the profit status of treatment facilities is related to the availability of substance use disorder (SUD) treatment and indicates future research on </w:t>
      </w:r>
      <w:r w:rsidDel="00000000" w:rsidR="00000000" w:rsidRPr="00000000">
        <w:rPr>
          <w:rtl w:val="0"/>
        </w:rPr>
        <w:t xml:space="preserve">state-level SUD treatment variation, quality considerations, and the SUD treatment industry’s role in addressing this overdose crisis</w:t>
      </w:r>
      <w:r w:rsidDel="00000000" w:rsidR="00000000" w:rsidRPr="00000000">
        <w:rPr>
          <w:rtl w:val="0"/>
        </w:rPr>
        <w:t xml:space="preserve">. It also emphasizes the influences of economic and demographic factors in shaping the treatment infrastructure at the state level.</w:t>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Keywords: Substance Use Disorder, Treatment Centers, Profit Status, Drug Use Prevalence, Negative Binomial Model, State-Level Analysis</w:t>
      </w:r>
    </w:p>
    <w:p w:rsidR="00000000" w:rsidDel="00000000" w:rsidP="00000000" w:rsidRDefault="00000000" w:rsidRPr="00000000" w14:paraId="00000014">
      <w:pPr>
        <w:rPr/>
      </w:pPr>
      <w:r w:rsidDel="00000000" w:rsidR="00000000" w:rsidRPr="00000000">
        <w:rPr>
          <w:i w:val="1"/>
          <w:rtl w:val="0"/>
        </w:rPr>
        <w:t xml:space="preserve">Highlights: (bullet pointed list)</w:t>
      </w:r>
      <w:r w:rsidDel="00000000" w:rsidR="00000000" w:rsidRPr="00000000">
        <w:rPr>
          <w:rtl w:val="0"/>
        </w:rPr>
      </w:r>
    </w:p>
    <w:p w:rsidR="00000000" w:rsidDel="00000000" w:rsidP="00000000" w:rsidRDefault="00000000" w:rsidRPr="00000000" w14:paraId="00000015">
      <w:pPr>
        <w:pStyle w:val="Heading1"/>
        <w:keepNext w:val="0"/>
        <w:keepLines w:val="0"/>
        <w:spacing w:after="80" w:before="0" w:line="479.9997000000001" w:lineRule="auto"/>
        <w:rPr/>
      </w:pPr>
      <w:bookmarkStart w:colFirst="0" w:colLast="0" w:name="_tl6xwkienehx" w:id="4"/>
      <w:bookmarkEnd w:id="4"/>
      <w:commentRangeStart w:id="2"/>
      <w:commentRangeStart w:id="3"/>
      <w:r w:rsidDel="00000000" w:rsidR="00000000" w:rsidRPr="00000000">
        <w:rPr>
          <w:rtl w:val="0"/>
        </w:rPr>
        <w:t xml:space="preserve">Introduction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spacing w:line="480" w:lineRule="auto"/>
        <w:ind w:firstLine="720"/>
        <w:rPr/>
      </w:pPr>
      <w:commentRangeStart w:id="4"/>
      <w:r w:rsidDel="00000000" w:rsidR="00000000" w:rsidRPr="00000000">
        <w:rPr>
          <w:rFonts w:ascii="Times New Roman" w:cs="Times New Roman" w:eastAsia="Times New Roman" w:hAnsi="Times New Roman"/>
          <w:sz w:val="24"/>
          <w:szCs w:val="24"/>
          <w:rtl w:val="0"/>
        </w:rPr>
        <w:t xml:space="preserve">The United States is in a drug overdose crisis, with drug fatalities increasing steadily this century. With the rise in overdose deaths, substance use disorders (SUD) are more recognized and new treatment centers are emerging across the country. </w:t>
      </w:r>
      <w:r w:rsidDel="00000000" w:rsidR="00000000" w:rsidRPr="00000000">
        <w:rPr>
          <w:rFonts w:ascii="Times New Roman" w:cs="Times New Roman" w:eastAsia="Times New Roman" w:hAnsi="Times New Roman"/>
          <w:sz w:val="24"/>
          <w:szCs w:val="24"/>
          <w:rtl w:val="0"/>
        </w:rPr>
        <w:t xml:space="preserve">This study investigates the relationship between SUD treatment centers and substance use prevalence in the United States </w:t>
      </w:r>
      <w:r w:rsidDel="00000000" w:rsidR="00000000" w:rsidRPr="00000000">
        <w:rPr>
          <w:rtl w:val="0"/>
        </w:rPr>
        <w:t xml:space="preserve">focusing on each unique state-year combination from 2014 to 2019. This period was chosen because it coincides with the third wave of the opioid epidemic, marked by a rise in synthetic opioid availability and related deaths starting around 2013. It also follows the implementation of the Affordable Care Act in January 2014, which significantly altered insurance availability, coverage, and access to treatment. Additionally, substance use estimates from the National Survey on Drug Use and Health (NSDUH) end in 2018-2019, and the National Survey on Substance Abuse Treatment Services (NSSATS) estimates for 2020 may be unreliable due to the COVID-19 pandemic and ensuing economic recession, which notably impacted residential treatment facilities and other treatment settings. </w:t>
      </w:r>
      <w:r w:rsidDel="00000000" w:rsidR="00000000" w:rsidRPr="00000000">
        <w:rPr>
          <w:rtl w:val="0"/>
        </w:rPr>
        <w:t xml:space="preserve">To the best of our knowledge, this is the first study showing the relationship between SUD treatment centers in the U.S. and the prevalence of substance use.</w:t>
      </w: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The rest of this study is organized into 5 sections. Section 1 provides background on the opioid crisis and treatment facilities. Next, we discuss theories, including the theory of healthcare behavior and information asymmetry, as well as the aims of this study. Section 3 provides information on data, methods, and summary statistics. In Section 4, we present the main results and discuss the implications. The last section addresses quality concerns, limitations of the study, future studies based on our study and conclusion.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pStyle w:val="Heading2"/>
        <w:rPr/>
      </w:pPr>
      <w:bookmarkStart w:colFirst="0" w:colLast="0" w:name="_adgksrcyjrk8" w:id="5"/>
      <w:bookmarkEnd w:id="5"/>
      <w:r w:rsidDel="00000000" w:rsidR="00000000" w:rsidRPr="00000000">
        <w:rPr>
          <w:rtl w:val="0"/>
        </w:rPr>
        <w:t xml:space="preserve">Background on the Opioid Crisis</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United States Center for Disease Control (CDC), 106,699 people died of a drug overdose in the United States in 2021. Over 75% of those deaths involved an opioid (CDC Injury Center, 2023), defining the “third wave” of the opioid epidemic by the increase in synthetic opioid prevalence (CDC, 2023). Overdose deaths involving cocaine, benzodiazepines, methamphetamine, and antidepressants have also increased from 1999 to 2021 (National Institute on Drug Abuse, 2023). These deaths shorten the lives of people who use drugs (PWUD) and impact their loved ones, employers, and society. Few regions have been left untouched by this crisis; however, several studies identify that drug overdose rates vary widely state-to-state and are constantly evolving. In 2016, West Virginia, New Hampshire, Ohio, Maryland, and Massachusetts saw the highest opioid overdose death rates, while Texas, Kansas, Hawaii, California, and Arkansas saw the lowest opioid death rates (Lyle et al, 2020). </w:t>
      </w:r>
      <w:r w:rsidDel="00000000" w:rsidR="00000000" w:rsidRPr="00000000">
        <w:rPr>
          <w:rtl w:val="0"/>
        </w:rPr>
        <w:t xml:space="preserve">Just a few years later in</w:t>
      </w:r>
      <w:r w:rsidDel="00000000" w:rsidR="00000000" w:rsidRPr="00000000">
        <w:rPr>
          <w:rFonts w:ascii="Times New Roman" w:cs="Times New Roman" w:eastAsia="Times New Roman" w:hAnsi="Times New Roman"/>
          <w:sz w:val="24"/>
          <w:szCs w:val="24"/>
          <w:rtl w:val="0"/>
        </w:rPr>
        <w:t xml:space="preserve"> a 2021 report by the CDC, West Virginia, Tennessee, Louisiana, Kentucky, and Delaware had the highest overall age-adjusted drug overdose death rates, while Nebraska, South Dakota, Iowa, Texas, and North Dakota saw the lowest drug overdose death rates (NCHS Pressroom, 2022). As shown by the differences in these estimates, understanding state-level drug use and overdose is difficult</w:t>
      </w:r>
      <w:r w:rsidDel="00000000" w:rsidR="00000000" w:rsidRPr="00000000">
        <w:rPr>
          <w:rtl w:val="0"/>
        </w:rPr>
        <w:t xml:space="preserve">. This is partially </w:t>
      </w:r>
      <w:r w:rsidDel="00000000" w:rsidR="00000000" w:rsidRPr="00000000">
        <w:rPr>
          <w:rFonts w:ascii="Times New Roman" w:cs="Times New Roman" w:eastAsia="Times New Roman" w:hAnsi="Times New Roman"/>
          <w:sz w:val="24"/>
          <w:szCs w:val="24"/>
          <w:rtl w:val="0"/>
        </w:rPr>
        <w:t xml:space="preserve">due to many state-level </w:t>
      </w:r>
      <w:r w:rsidDel="00000000" w:rsidR="00000000" w:rsidRPr="00000000">
        <w:rPr>
          <w:rtl w:val="0"/>
        </w:rPr>
        <w:t xml:space="preserve">factors,</w:t>
      </w:r>
      <w:r w:rsidDel="00000000" w:rsidR="00000000" w:rsidRPr="00000000">
        <w:rPr>
          <w:rFonts w:ascii="Times New Roman" w:cs="Times New Roman" w:eastAsia="Times New Roman" w:hAnsi="Times New Roman"/>
          <w:sz w:val="24"/>
          <w:szCs w:val="24"/>
          <w:rtl w:val="0"/>
        </w:rPr>
        <w:t xml:space="preserve"> including legal policies around drug use, healthcare access, state guidelines for treatment (National Alliance for Model State Drug Laws, 2019), Medicaid coverage (Auty, 2022), income, and more, as well as frequent, nonlinear changes in drug use over time (England et </w:t>
      </w:r>
      <w:r w:rsidDel="00000000" w:rsidR="00000000" w:rsidRPr="00000000">
        <w:rPr>
          <w:rtl w:val="0"/>
        </w:rPr>
        <w:t xml:space="preserve">al.</w:t>
      </w:r>
      <w:r w:rsidDel="00000000" w:rsidR="00000000" w:rsidRPr="00000000">
        <w:rPr>
          <w:rFonts w:ascii="Times New Roman" w:cs="Times New Roman" w:eastAsia="Times New Roman" w:hAnsi="Times New Roman"/>
          <w:sz w:val="24"/>
          <w:szCs w:val="24"/>
          <w:rtl w:val="0"/>
        </w:rPr>
        <w:t xml:space="preserve">, 2024). It is important to better understand state-level drug use and overdose trends to estimate their impacts on society, the economy, healthcare, and individuals.</w:t>
      </w:r>
    </w:p>
    <w:p w:rsidR="00000000" w:rsidDel="00000000" w:rsidP="00000000" w:rsidRDefault="00000000" w:rsidRPr="00000000" w14:paraId="0000001A">
      <w:pPr>
        <w:pStyle w:val="Heading2"/>
        <w:rPr/>
      </w:pPr>
      <w:bookmarkStart w:colFirst="0" w:colLast="0" w:name="_ua7ykrrvljvh" w:id="6"/>
      <w:bookmarkEnd w:id="6"/>
      <w:r w:rsidDel="00000000" w:rsidR="00000000" w:rsidRPr="00000000">
        <w:rPr>
          <w:rtl w:val="0"/>
        </w:rPr>
        <w:t xml:space="preserve">Background on the increase in Substance Use Treatment Facilities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rise in overdose deaths, substance use </w:t>
      </w:r>
      <w:r w:rsidDel="00000000" w:rsidR="00000000" w:rsidRPr="00000000">
        <w:rPr>
          <w:rtl w:val="0"/>
        </w:rPr>
        <w:t xml:space="preserve">disorders,</w:t>
      </w:r>
      <w:r w:rsidDel="00000000" w:rsidR="00000000" w:rsidRPr="00000000">
        <w:rPr>
          <w:rFonts w:ascii="Times New Roman" w:cs="Times New Roman" w:eastAsia="Times New Roman" w:hAnsi="Times New Roman"/>
          <w:sz w:val="24"/>
          <w:szCs w:val="24"/>
          <w:rtl w:val="0"/>
        </w:rPr>
        <w:t xml:space="preserve"> and the struggles of PWUD have made mainstream news. While many news </w:t>
      </w:r>
      <w:r w:rsidDel="00000000" w:rsidR="00000000" w:rsidRPr="00000000">
        <w:rPr>
          <w:rtl w:val="0"/>
        </w:rPr>
        <w:t xml:space="preserve">stories</w:t>
      </w:r>
      <w:r w:rsidDel="00000000" w:rsidR="00000000" w:rsidRPr="00000000">
        <w:rPr>
          <w:rFonts w:ascii="Times New Roman" w:cs="Times New Roman" w:eastAsia="Times New Roman" w:hAnsi="Times New Roman"/>
          <w:sz w:val="24"/>
          <w:szCs w:val="24"/>
          <w:rtl w:val="0"/>
        </w:rPr>
        <w:t xml:space="preserve"> report rising overdose deaths, other</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question the influx of treatment centers. Major news </w:t>
      </w:r>
      <w:r w:rsidDel="00000000" w:rsidR="00000000" w:rsidRPr="00000000">
        <w:rPr>
          <w:rtl w:val="0"/>
        </w:rPr>
        <w:t xml:space="preserve">sources,</w:t>
      </w:r>
      <w:r w:rsidDel="00000000" w:rsidR="00000000" w:rsidRPr="00000000">
        <w:rPr>
          <w:rFonts w:ascii="Times New Roman" w:cs="Times New Roman" w:eastAsia="Times New Roman" w:hAnsi="Times New Roman"/>
          <w:sz w:val="24"/>
          <w:szCs w:val="24"/>
          <w:rtl w:val="0"/>
        </w:rPr>
        <w:t xml:space="preserve"> such as CBS and </w:t>
      </w:r>
      <w:r w:rsidDel="00000000" w:rsidR="00000000" w:rsidRPr="00000000">
        <w:rPr>
          <w:rtl w:val="0"/>
        </w:rPr>
        <w:t xml:space="preserve">NPR,</w:t>
      </w:r>
      <w:r w:rsidDel="00000000" w:rsidR="00000000" w:rsidRPr="00000000">
        <w:rPr>
          <w:rFonts w:ascii="Times New Roman" w:cs="Times New Roman" w:eastAsia="Times New Roman" w:hAnsi="Times New Roman"/>
          <w:sz w:val="24"/>
          <w:szCs w:val="24"/>
          <w:rtl w:val="0"/>
        </w:rPr>
        <w:t xml:space="preserve"> have published stories criticizing profit-hungry treatment centers. CBS highlights </w:t>
      </w:r>
      <w:r w:rsidDel="00000000" w:rsidR="00000000" w:rsidRPr="00000000">
        <w:rPr>
          <w:rtl w:val="0"/>
        </w:rPr>
        <w:t xml:space="preserve">shortcomings</w:t>
      </w:r>
      <w:r w:rsidDel="00000000" w:rsidR="00000000" w:rsidRPr="00000000">
        <w:rPr>
          <w:rFonts w:ascii="Times New Roman" w:cs="Times New Roman" w:eastAsia="Times New Roman" w:hAnsi="Times New Roman"/>
          <w:sz w:val="24"/>
          <w:szCs w:val="24"/>
          <w:rtl w:val="0"/>
        </w:rPr>
        <w:t xml:space="preserve"> including unnecessarily </w:t>
      </w:r>
      <w:r w:rsidDel="00000000" w:rsidR="00000000" w:rsidRPr="00000000">
        <w:rPr>
          <w:rtl w:val="0"/>
        </w:rPr>
        <w:t xml:space="preserve">extended</w:t>
      </w:r>
      <w:r w:rsidDel="00000000" w:rsidR="00000000" w:rsidRPr="00000000">
        <w:rPr>
          <w:rFonts w:ascii="Times New Roman" w:cs="Times New Roman" w:eastAsia="Times New Roman" w:hAnsi="Times New Roman"/>
          <w:sz w:val="24"/>
          <w:szCs w:val="24"/>
          <w:rtl w:val="0"/>
        </w:rPr>
        <w:t xml:space="preserve"> treatment, large upfront payments, poor treatment quality, and high-pressure private equity investors (Ryasam, 2023). Similarly, NPR mentions “sales techniques</w:t>
      </w:r>
      <w:r w:rsidDel="00000000" w:rsidR="00000000" w:rsidRPr="00000000">
        <w:rPr>
          <w:rtl w:val="0"/>
        </w:rPr>
        <w:t xml:space="preserve">'' and</w:t>
      </w:r>
      <w:r w:rsidDel="00000000" w:rsidR="00000000" w:rsidRPr="00000000">
        <w:rPr>
          <w:rFonts w:ascii="Times New Roman" w:cs="Times New Roman" w:eastAsia="Times New Roman" w:hAnsi="Times New Roman"/>
          <w:sz w:val="24"/>
          <w:szCs w:val="24"/>
          <w:rtl w:val="0"/>
        </w:rPr>
        <w:t xml:space="preserve"> lack of standards, which are especially noticeable since the Affordable Care Act (ACA) (Mann, 2021). Many of these articles </w:t>
      </w:r>
      <w:r w:rsidDel="00000000" w:rsidR="00000000" w:rsidRPr="00000000">
        <w:rPr>
          <w:rtl w:val="0"/>
        </w:rPr>
        <w:t xml:space="preserve">chastise</w:t>
      </w:r>
      <w:r w:rsidDel="00000000" w:rsidR="00000000" w:rsidRPr="00000000">
        <w:rPr>
          <w:rFonts w:ascii="Times New Roman" w:cs="Times New Roman" w:eastAsia="Times New Roman" w:hAnsi="Times New Roman"/>
          <w:sz w:val="24"/>
          <w:szCs w:val="24"/>
          <w:rtl w:val="0"/>
        </w:rPr>
        <w:t xml:space="preserve"> the for-profit treatment industry, criticizing their practices as predatory, unjustified, and not evidence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based. One qualitative study called 613 treatment centers pretending to be a PWUD seeking treatment and noted the responses</w:t>
      </w:r>
      <w:r w:rsidDel="00000000" w:rsidR="00000000" w:rsidRPr="00000000">
        <w:rPr>
          <w:rtl w:val="0"/>
        </w:rPr>
        <w:t xml:space="preserve">, concluding</w:t>
      </w:r>
      <w:r w:rsidDel="00000000" w:rsidR="00000000" w:rsidRPr="00000000">
        <w:rPr>
          <w:rFonts w:ascii="Times New Roman" w:cs="Times New Roman" w:eastAsia="Times New Roman" w:hAnsi="Times New Roman"/>
          <w:sz w:val="24"/>
          <w:szCs w:val="24"/>
          <w:rtl w:val="0"/>
        </w:rPr>
        <w:t xml:space="preserve"> that for-profit treatment centers charged larger up-front payments and more frequently used recruitment strategies (Beetham, 2021). While many of these studies identify differences in for-profit and non-profit treatment center behaviors, it is unclear how the growing for-profit substance use disorder (SUD) treatment industry is associated with increased drug use and overdose.</w:t>
      </w:r>
    </w:p>
    <w:p w:rsidR="00000000" w:rsidDel="00000000" w:rsidP="00000000" w:rsidRDefault="00000000" w:rsidRPr="00000000" w14:paraId="0000001C">
      <w:pPr>
        <w:pStyle w:val="Heading2"/>
        <w:rPr/>
      </w:pPr>
      <w:bookmarkStart w:colFirst="0" w:colLast="0" w:name="_64f6t4ljb7jg" w:id="7"/>
      <w:bookmarkEnd w:id="7"/>
      <w:r w:rsidDel="00000000" w:rsidR="00000000" w:rsidRPr="00000000">
        <w:rPr>
          <w:rtl w:val="0"/>
        </w:rPr>
        <w:t xml:space="preserve">SUD Treatment Changes Post-ACA</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We should consider this opioid overdose crisis in light of a changing health policy landscape post-ACA, and remember that SUD treatment has been shown to change after public insurance does.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tl w:val="0"/>
        </w:rPr>
        <w:t xml:space="preserve">instance, Hamersa et al</w:t>
      </w:r>
      <w:r w:rsidDel="00000000" w:rsidR="00000000" w:rsidRPr="00000000">
        <w:rPr>
          <w:rFonts w:ascii="Times New Roman" w:cs="Times New Roman" w:eastAsia="Times New Roman" w:hAnsi="Times New Roman"/>
          <w:sz w:val="24"/>
          <w:szCs w:val="24"/>
          <w:rtl w:val="0"/>
        </w:rPr>
        <w:t xml:space="preserve"> investigated youth SUD treatment and found that non-profit and government specialty SUD treatment is most responsive to public insurance changes and that providers are more likely to accept Children’s Health Insurance Program (CHIP) than Medicaid when public insurance becomes more generous </w:t>
      </w:r>
      <w:r w:rsidDel="00000000" w:rsidR="00000000" w:rsidRPr="00000000">
        <w:rPr>
          <w:rtl w:val="0"/>
        </w:rPr>
        <w:t xml:space="preserve">(Hamersma,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Moreover, Saloner et al identified that following the ACA's expansion of dependent coverage, there was a decrease in adult treatment utilization, although the percentage of insured individuals receiving treatment increased </w:t>
      </w:r>
      <w:r w:rsidDel="00000000" w:rsidR="00000000" w:rsidRPr="00000000">
        <w:rPr>
          <w:rtl w:val="0"/>
        </w:rPr>
        <w:t xml:space="preserve">(Saloner,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Studies investigating the relationship between state parity laws post-ACA and SUD treatment show increases in treatment </w:t>
      </w:r>
      <w:r w:rsidDel="00000000" w:rsidR="00000000" w:rsidRPr="00000000">
        <w:rPr>
          <w:rtl w:val="0"/>
        </w:rPr>
        <w:t xml:space="preserve">rates,</w:t>
      </w:r>
      <w:r w:rsidDel="00000000" w:rsidR="00000000" w:rsidRPr="00000000">
        <w:rPr>
          <w:rFonts w:ascii="Times New Roman" w:cs="Times New Roman" w:eastAsia="Times New Roman" w:hAnsi="Times New Roman"/>
          <w:sz w:val="24"/>
          <w:szCs w:val="24"/>
          <w:rtl w:val="0"/>
        </w:rPr>
        <w:t xml:space="preserve"> which vary by insurance type accepted (Wen, 2013) and changes in participation in public markets, price discounts, and quantity of </w:t>
      </w:r>
      <w:r w:rsidDel="00000000" w:rsidR="00000000" w:rsidRPr="00000000">
        <w:rPr>
          <w:rtl w:val="0"/>
        </w:rPr>
        <w:t xml:space="preserve">care,</w:t>
      </w:r>
      <w:r w:rsidDel="00000000" w:rsidR="00000000" w:rsidRPr="00000000">
        <w:rPr>
          <w:rFonts w:ascii="Times New Roman" w:cs="Times New Roman" w:eastAsia="Times New Roman" w:hAnsi="Times New Roman"/>
          <w:sz w:val="24"/>
          <w:szCs w:val="24"/>
          <w:rtl w:val="0"/>
        </w:rPr>
        <w:t xml:space="preserve"> which vary by profit type (Maclean, 2018). Other studies have shown that opioid treatment admissions to specialty centers increased in Medicaid expansion states, indicating that Medicaid expansion post-ACA increased access to opioid treatment (Meinhofer, 2018). These studies collectively reveal that the ACA has impacted SUD treatment provision and insurance acceptance in significant ways, but the relationship is not homogenous for all states, populations, profit status, or insurance types.</w:t>
      </w:r>
    </w:p>
    <w:p w:rsidR="00000000" w:rsidDel="00000000" w:rsidP="00000000" w:rsidRDefault="00000000" w:rsidRPr="00000000" w14:paraId="0000001E">
      <w:pPr>
        <w:pStyle w:val="Heading2"/>
        <w:rPr/>
      </w:pPr>
      <w:bookmarkStart w:colFirst="0" w:colLast="0" w:name="_eokk4880fh81" w:id="8"/>
      <w:bookmarkEnd w:id="8"/>
      <w:r w:rsidDel="00000000" w:rsidR="00000000" w:rsidRPr="00000000">
        <w:rPr>
          <w:rtl w:val="0"/>
        </w:rPr>
        <w:t xml:space="preserve">Information Asymmetry</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relevant details about ACA policy impacts on SUD treatment provision, the accusations towards SUD treatment centers are concerning given the health economics theory of asymmetric information. Asymmetric information is a common healthcare “market failure” because patients and doctors do not have equal knowledge about medical conditions, potential treatments, costs, and side effects. This causes particular concern when there is evidence of poor quality of 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(Folland, 2017)</w:t>
      </w:r>
      <w:r w:rsidDel="00000000" w:rsidR="00000000" w:rsidRPr="00000000">
        <w:rPr>
          <w:rtl w:val="0"/>
        </w:rPr>
        <w:t xml:space="preserve">; unfortunately, s</w:t>
      </w:r>
      <w:r w:rsidDel="00000000" w:rsidR="00000000" w:rsidRPr="00000000">
        <w:rPr>
          <w:rFonts w:ascii="Times New Roman" w:cs="Times New Roman" w:eastAsia="Times New Roman" w:hAnsi="Times New Roman"/>
          <w:sz w:val="24"/>
          <w:szCs w:val="24"/>
          <w:rtl w:val="0"/>
        </w:rPr>
        <w:t xml:space="preserve">tudies show alarmingly high rates of patients not receiving recommended medical care for preventive, acute, and chronic conditions (McGlynn, 2003). Concerns about information asymmetry are amplified in two situations: vulnerable patients and unregulated treatment areas. Existing studies on consumers who are most vulnerable include inpatient psychiatric patients (Shields, 2018) and elderly patients in nursing homes (Chou, 2002), and unregulated emerging treatment areas include brain health technologies (Psychiatric Times, 2021).</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 treatment falls into both categories – patients who are vulnerable and an industry that is generally </w:t>
      </w:r>
      <w:r w:rsidDel="00000000" w:rsidR="00000000" w:rsidRPr="00000000">
        <w:rPr>
          <w:rtl w:val="0"/>
        </w:rPr>
        <w:t xml:space="preserve">under regulated</w:t>
      </w:r>
      <w:r w:rsidDel="00000000" w:rsidR="00000000" w:rsidRPr="00000000">
        <w:rPr>
          <w:rFonts w:ascii="Times New Roman" w:cs="Times New Roman" w:eastAsia="Times New Roman" w:hAnsi="Times New Roman"/>
          <w:sz w:val="24"/>
          <w:szCs w:val="24"/>
          <w:rtl w:val="0"/>
        </w:rPr>
        <w:t xml:space="preserve"> (HMP Global Learning Network, 2016) – making the risks of information asymmetry high. This highlights the importance of understanding SUD treatment market trends and increases urgency to ensure quality of care.</w:t>
      </w:r>
    </w:p>
    <w:p w:rsidR="00000000" w:rsidDel="00000000" w:rsidP="00000000" w:rsidRDefault="00000000" w:rsidRPr="00000000" w14:paraId="00000021">
      <w:pPr>
        <w:pStyle w:val="Heading2"/>
        <w:rPr/>
      </w:pPr>
      <w:bookmarkStart w:colFirst="0" w:colLast="0" w:name="_qt09mxtiyy1" w:id="9"/>
      <w:bookmarkEnd w:id="9"/>
      <w:r w:rsidDel="00000000" w:rsidR="00000000" w:rsidRPr="00000000">
        <w:rPr>
          <w:rtl w:val="0"/>
        </w:rPr>
        <w:t xml:space="preserve">For-profit and Non-Profit Healthcare Behavior Theory</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important consideration is for-profit and non-profit healthcare behavior theory. According to Burton Weisbrod’s classic theory of non-profit behavior, the government only interferes to provide a good for which there is unmet demand, and non-profits further only enter the market when the government still does not satisfy demand (Kingma, 1997). An underprovided good is another example of a “market failure”, and one potential cause is externalities – when purchase of a good impacts individuals besides the supplier and consumer (Folland, 2017). Substance use disorders represent a major negative externality, as many costs are absorbed by the community, including drunk driving accidents, emergency response after a drug overdose, decreased productivity among PWUD during active use, and many other unmeasurable externalities such as emotional distress for friends and family of PWUD.</w:t>
      </w:r>
      <w:r w:rsidDel="00000000" w:rsidR="00000000" w:rsidRPr="00000000">
        <w:rPr>
          <w:rFonts w:ascii="Times New Roman" w:cs="Times New Roman" w:eastAsia="Times New Roman" w:hAnsi="Times New Roman"/>
          <w:sz w:val="24"/>
          <w:szCs w:val="24"/>
          <w:rtl w:val="0"/>
        </w:rPr>
        <w:t xml:space="preserve"> Given that negative externalities</w:t>
      </w:r>
      <w:r w:rsidDel="00000000" w:rsidR="00000000" w:rsidRPr="00000000">
        <w:rPr>
          <w:rFonts w:ascii="Times New Roman" w:cs="Times New Roman" w:eastAsia="Times New Roman" w:hAnsi="Times New Roman"/>
          <w:sz w:val="24"/>
          <w:szCs w:val="24"/>
          <w:rtl w:val="0"/>
        </w:rPr>
        <w:t xml:space="preserve"> result in under-provision of a good, and under-provision requires government and non-profits to get involved, it is unsurprising that much of the SUD treatment industry has historically been dominated by non-profit and government entities. However, this trend appears to be changing, as for-profits control more of the SUD treatment industry. Several studies have empirically shown that for-profit hospitals respond more quickly to changing market conditions than do non-profit firms (Hansmann, 2007; Chakvarty, 2005). Based</w:t>
      </w:r>
      <w:r w:rsidDel="00000000" w:rsidR="00000000" w:rsidRPr="00000000">
        <w:rPr>
          <w:rFonts w:ascii="Times New Roman" w:cs="Times New Roman" w:eastAsia="Times New Roman" w:hAnsi="Times New Roman"/>
          <w:sz w:val="24"/>
          <w:szCs w:val="24"/>
          <w:rtl w:val="0"/>
        </w:rPr>
        <w:t xml:space="preserve"> on economic</w:t>
      </w:r>
      <w:r w:rsidDel="00000000" w:rsidR="00000000" w:rsidRPr="00000000">
        <w:rPr>
          <w:rFonts w:ascii="Times New Roman" w:cs="Times New Roman" w:eastAsia="Times New Roman" w:hAnsi="Times New Roman"/>
          <w:sz w:val="24"/>
          <w:szCs w:val="24"/>
          <w:rtl w:val="0"/>
        </w:rPr>
        <w:t xml:space="preserve"> theory and previous profit status healthcare research, we hypothesize that for-profit treatment center counts will be more closely related to drug use prevalence than non-profit or government treatment center counts.</w:t>
      </w:r>
    </w:p>
    <w:p w:rsidR="00000000" w:rsidDel="00000000" w:rsidP="00000000" w:rsidRDefault="00000000" w:rsidRPr="00000000" w14:paraId="00000023">
      <w:pPr>
        <w:pStyle w:val="Heading2"/>
        <w:rPr/>
      </w:pPr>
      <w:bookmarkStart w:colFirst="0" w:colLast="0" w:name="_ge4ed0md0ksm" w:id="10"/>
      <w:bookmarkEnd w:id="10"/>
      <w:r w:rsidDel="00000000" w:rsidR="00000000" w:rsidRPr="00000000">
        <w:rPr>
          <w:rtl w:val="0"/>
        </w:rPr>
        <w:t xml:space="preserve">Study Aims</w:t>
      </w:r>
    </w:p>
    <w:p w:rsidR="00000000" w:rsidDel="00000000" w:rsidP="00000000" w:rsidRDefault="00000000" w:rsidRPr="00000000" w14:paraId="00000024">
      <w:pPr>
        <w:pStyle w:val="Heading2"/>
        <w:keepNext w:val="0"/>
        <w:keepLines w:val="0"/>
        <w:spacing w:after="80" w:before="160" w:line="480.0003750000001" w:lineRule="auto"/>
        <w:ind w:firstLine="720"/>
        <w:rPr>
          <w:b w:val="0"/>
          <w:sz w:val="24"/>
          <w:szCs w:val="24"/>
        </w:rPr>
      </w:pPr>
      <w:bookmarkStart w:colFirst="0" w:colLast="0" w:name="_iqrjz9xvp1fx" w:id="11"/>
      <w:bookmarkEnd w:id="11"/>
      <w:r w:rsidDel="00000000" w:rsidR="00000000" w:rsidRPr="00000000">
        <w:rPr>
          <w:b w:val="0"/>
          <w:sz w:val="24"/>
          <w:szCs w:val="24"/>
          <w:rtl w:val="0"/>
        </w:rPr>
        <w:t xml:space="preserve">This study aims to reveal whether the number of SUD treatment centers is associated with substa</w:t>
      </w:r>
      <w:r w:rsidDel="00000000" w:rsidR="00000000" w:rsidRPr="00000000">
        <w:rPr>
          <w:b w:val="0"/>
          <w:rtl w:val="0"/>
        </w:rPr>
        <w:t xml:space="preserve">nce use prevalence (a proxy for SUD treatment demand)</w:t>
      </w:r>
      <w:r w:rsidDel="00000000" w:rsidR="00000000" w:rsidRPr="00000000">
        <w:rPr>
          <w:b w:val="0"/>
          <w:sz w:val="24"/>
          <w:szCs w:val="24"/>
          <w:rtl w:val="0"/>
        </w:rPr>
        <w:t xml:space="preserve"> in the United States during the third wave of the opioid epidemic. The primary goal is </w:t>
      </w:r>
      <w:r w:rsidDel="00000000" w:rsidR="00000000" w:rsidRPr="00000000">
        <w:rPr>
          <w:b w:val="0"/>
          <w:rtl w:val="0"/>
        </w:rPr>
        <w:t xml:space="preserve">to identify</w:t>
      </w:r>
      <w:r w:rsidDel="00000000" w:rsidR="00000000" w:rsidRPr="00000000">
        <w:rPr>
          <w:b w:val="0"/>
          <w:sz w:val="24"/>
          <w:szCs w:val="24"/>
          <w:rtl w:val="0"/>
        </w:rPr>
        <w:t xml:space="preserve"> this relationship separately in for-profit, non-profit, and government SUD treatment industries. </w:t>
      </w:r>
      <w:r w:rsidDel="00000000" w:rsidR="00000000" w:rsidRPr="00000000">
        <w:rPr>
          <w:b w:val="0"/>
          <w:rtl w:val="0"/>
        </w:rPr>
        <w:t xml:space="preserve">Although it cannot prove causation, the goal of this inquiry is to ascertain whether the number of treatment facilities is associated with trends in substance use.</w:t>
      </w:r>
      <w:r w:rsidDel="00000000" w:rsidR="00000000" w:rsidRPr="00000000">
        <w:rPr>
          <w:b w:val="0"/>
          <w:sz w:val="24"/>
          <w:szCs w:val="24"/>
          <w:rtl w:val="0"/>
        </w:rPr>
        <w:t xml:space="preserve"> To the authors</w:t>
      </w:r>
      <w:r w:rsidDel="00000000" w:rsidR="00000000" w:rsidRPr="00000000">
        <w:rPr>
          <w:b w:val="0"/>
          <w:rtl w:val="0"/>
        </w:rPr>
        <w:t xml:space="preserve">’</w:t>
      </w:r>
      <w:r w:rsidDel="00000000" w:rsidR="00000000" w:rsidRPr="00000000">
        <w:rPr>
          <w:b w:val="0"/>
          <w:sz w:val="24"/>
          <w:szCs w:val="24"/>
          <w:rtl w:val="0"/>
        </w:rPr>
        <w:t xml:space="preserve"> </w:t>
      </w:r>
      <w:r w:rsidDel="00000000" w:rsidR="00000000" w:rsidRPr="00000000">
        <w:rPr>
          <w:b w:val="0"/>
          <w:rtl w:val="0"/>
        </w:rPr>
        <w:t xml:space="preserve">knowledge,</w:t>
      </w:r>
      <w:r w:rsidDel="00000000" w:rsidR="00000000" w:rsidRPr="00000000">
        <w:rPr>
          <w:b w:val="0"/>
          <w:sz w:val="24"/>
          <w:szCs w:val="24"/>
          <w:rtl w:val="0"/>
        </w:rPr>
        <w:t xml:space="preserve"> there have been no prior scientific studies evaluating whether the count of treatment centers per state is related to substance use prevalence.</w:t>
      </w:r>
    </w:p>
    <w:p w:rsidR="00000000" w:rsidDel="00000000" w:rsidP="00000000" w:rsidRDefault="00000000" w:rsidRPr="00000000" w14:paraId="00000025">
      <w:pPr>
        <w:pStyle w:val="Heading1"/>
        <w:keepNext w:val="0"/>
        <w:keepLines w:val="0"/>
        <w:rPr/>
      </w:pPr>
      <w:bookmarkStart w:colFirst="0" w:colLast="0" w:name="_6btkvwrvwogh" w:id="12"/>
      <w:bookmarkEnd w:id="12"/>
      <w:r w:rsidDel="00000000" w:rsidR="00000000" w:rsidRPr="00000000">
        <w:rPr>
          <w:rtl w:val="0"/>
        </w:rPr>
        <w:t xml:space="preserve">Data and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6">
      <w:pPr>
        <w:pStyle w:val="Heading2"/>
        <w:spacing w:line="480" w:lineRule="auto"/>
        <w:rPr>
          <w:rFonts w:ascii="Times New Roman" w:cs="Times New Roman" w:eastAsia="Times New Roman" w:hAnsi="Times New Roman"/>
          <w:sz w:val="24"/>
          <w:szCs w:val="24"/>
        </w:rPr>
      </w:pPr>
      <w:bookmarkStart w:colFirst="0" w:colLast="0" w:name="_k7jpl858aoli" w:id="13"/>
      <w:bookmarkEnd w:id="13"/>
      <w:commentRangeStart w:id="5"/>
      <w:commentRangeStart w:id="6"/>
      <w:r w:rsidDel="00000000" w:rsidR="00000000" w:rsidRPr="00000000">
        <w:rPr>
          <w:rFonts w:ascii="Times New Roman" w:cs="Times New Roman" w:eastAsia="Times New Roman" w:hAnsi="Times New Roman"/>
          <w:sz w:val="24"/>
          <w:szCs w:val="24"/>
          <w:rtl w:val="0"/>
        </w:rPr>
        <w:t xml:space="preserve">Data Sources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The study was performed using </w:t>
      </w:r>
      <w:r w:rsidDel="00000000" w:rsidR="00000000" w:rsidRPr="00000000">
        <w:rPr>
          <w:rtl w:val="0"/>
        </w:rPr>
        <w:t xml:space="preserve">two</w:t>
      </w:r>
      <w:r w:rsidDel="00000000" w:rsidR="00000000" w:rsidRPr="00000000">
        <w:rPr>
          <w:rtl w:val="0"/>
        </w:rPr>
        <w:t xml:space="preserve"> publicly available data sources from the U.S. Substance Abuse and Mental Health Services Administration (SAMHSA) and control variables from other public U.S. datasets. While these data sources both capture survey data about U.S. substance use trends, they differ in sample population, survey questions, and primary goals. Batts et al have succinctly compared and summarized these datasets (Batts et al. 2012).</w:t>
      </w:r>
    </w:p>
    <w:p w:rsidR="00000000" w:rsidDel="00000000" w:rsidP="00000000" w:rsidRDefault="00000000" w:rsidRPr="00000000" w14:paraId="00000028">
      <w:pPr>
        <w:pStyle w:val="Heading3"/>
        <w:rPr>
          <w:rFonts w:ascii="Times New Roman" w:cs="Times New Roman" w:eastAsia="Times New Roman" w:hAnsi="Times New Roman"/>
          <w:i w:val="1"/>
          <w:color w:val="000000"/>
          <w:sz w:val="24"/>
          <w:szCs w:val="24"/>
        </w:rPr>
      </w:pPr>
      <w:bookmarkStart w:colFirst="0" w:colLast="0" w:name="_mm1k22flfn2e" w:id="14"/>
      <w:bookmarkEnd w:id="14"/>
      <w:r w:rsidDel="00000000" w:rsidR="00000000" w:rsidRPr="00000000">
        <w:rPr>
          <w:color w:val="000000"/>
          <w:rtl w:val="0"/>
        </w:rPr>
        <w:t xml:space="preserve">NSSATS</w:t>
      </w:r>
      <w:r w:rsidDel="00000000" w:rsidR="00000000" w:rsidRPr="00000000">
        <w:rPr>
          <w:rtl w:val="0"/>
        </w:rPr>
      </w:r>
    </w:p>
    <w:p w:rsidR="00000000" w:rsidDel="00000000" w:rsidP="00000000" w:rsidRDefault="00000000" w:rsidRPr="00000000" w14:paraId="0000002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Survey on Substance Abuse Treatment Services (NSSATS) is a collection of United States SUD treatment centers surveyed annually to understand services provided, beds available, number of patients treated, profit status, state, and more. This data has been collected annually since 1997, with the most recent data uploaded in 2020 (SAMHSA NSSATS 2019).</w:t>
      </w:r>
    </w:p>
    <w:p w:rsidR="00000000" w:rsidDel="00000000" w:rsidP="00000000" w:rsidRDefault="00000000" w:rsidRPr="00000000" w14:paraId="0000002A">
      <w:pPr>
        <w:pStyle w:val="Heading3"/>
        <w:spacing w:line="480" w:lineRule="auto"/>
        <w:rPr>
          <w:rFonts w:ascii="Times New Roman" w:cs="Times New Roman" w:eastAsia="Times New Roman" w:hAnsi="Times New Roman"/>
          <w:color w:val="000000"/>
          <w:sz w:val="24"/>
          <w:szCs w:val="24"/>
        </w:rPr>
      </w:pPr>
      <w:bookmarkStart w:colFirst="0" w:colLast="0" w:name="_p3q0f0o9n84" w:id="15"/>
      <w:bookmarkEnd w:id="15"/>
      <w:r w:rsidDel="00000000" w:rsidR="00000000" w:rsidRPr="00000000">
        <w:rPr>
          <w:rFonts w:ascii="Times New Roman" w:cs="Times New Roman" w:eastAsia="Times New Roman" w:hAnsi="Times New Roman"/>
          <w:color w:val="000000"/>
          <w:sz w:val="24"/>
          <w:szCs w:val="24"/>
          <w:rtl w:val="0"/>
        </w:rPr>
        <w:t xml:space="preserve">NSDUH</w:t>
      </w:r>
    </w:p>
    <w:p w:rsidR="00000000" w:rsidDel="00000000" w:rsidP="00000000" w:rsidRDefault="00000000" w:rsidRPr="00000000" w14:paraId="0000002B">
      <w:pPr>
        <w:ind w:left="0" w:firstLine="720"/>
        <w:rPr/>
      </w:pPr>
      <w:r w:rsidDel="00000000" w:rsidR="00000000" w:rsidRPr="00000000">
        <w:rPr>
          <w:rtl w:val="0"/>
        </w:rPr>
        <w:t xml:space="preserve">Another valuable SAMHSA dataset is the National Survey on Drug Use and Health (NSDUH), which surveys a sample from each state about their experience with substances and SUD/mental health services. Questions include alcohol and drug consumption/frequency, SUD diagnoses, hospitalization for mental health, and more. This data is aggregated over two-year periods before being shared with the public, e.g., 2017-2018 and 2018-2019 statistics are aggregated rather than reporting 2017, 2018, and 2019 individually (Center for Behavioral Health Statistics and Quality, 2021).</w:t>
      </w:r>
    </w:p>
    <w:p w:rsidR="00000000" w:rsidDel="00000000" w:rsidP="00000000" w:rsidRDefault="00000000" w:rsidRPr="00000000" w14:paraId="0000002C">
      <w:pPr>
        <w:pStyle w:val="Heading3"/>
        <w:rPr>
          <w:rFonts w:ascii="Times New Roman" w:cs="Times New Roman" w:eastAsia="Times New Roman" w:hAnsi="Times New Roman"/>
          <w:color w:val="000000"/>
          <w:sz w:val="24"/>
          <w:szCs w:val="24"/>
        </w:rPr>
      </w:pPr>
      <w:bookmarkStart w:colFirst="0" w:colLast="0" w:name="_58acn3m62d58" w:id="16"/>
      <w:bookmarkEnd w:id="16"/>
      <w:r w:rsidDel="00000000" w:rsidR="00000000" w:rsidRPr="00000000">
        <w:rPr>
          <w:color w:val="000000"/>
          <w:rtl w:val="0"/>
        </w:rPr>
        <w:t xml:space="preserve">Centers for Medicare and Medicaid Services</w:t>
      </w: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b w:val="1"/>
          <w:sz w:val="24"/>
          <w:szCs w:val="24"/>
          <w:highlight w:val="white"/>
        </w:rPr>
      </w:pP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tate population, state spending on healthcare, and state Medicaid enrollment</w:t>
      </w:r>
      <w:r w:rsidDel="00000000" w:rsidR="00000000" w:rsidRPr="00000000">
        <w:rPr>
          <w:rtl w:val="0"/>
        </w:rPr>
        <w:t xml:space="preserve"> information</w:t>
      </w:r>
      <w:r w:rsidDel="00000000" w:rsidR="00000000" w:rsidRPr="00000000">
        <w:rPr>
          <w:rFonts w:ascii="Times New Roman" w:cs="Times New Roman" w:eastAsia="Times New Roman" w:hAnsi="Times New Roman"/>
          <w:sz w:val="24"/>
          <w:szCs w:val="24"/>
          <w:rtl w:val="0"/>
        </w:rPr>
        <w:t xml:space="preserve"> comes from the “Center for Medicaid and Medicare Services’ Health Expenditures by State of Residence” data, which is captured every year from 1991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2020 (Center for Medicare and Medicaid Services, 2022)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2E">
      <w:pPr>
        <w:pStyle w:val="Heading3"/>
        <w:rPr>
          <w:color w:val="000000"/>
        </w:rPr>
      </w:pPr>
      <w:bookmarkStart w:colFirst="0" w:colLast="0" w:name="_ydfqo5ch4z9k" w:id="17"/>
      <w:bookmarkEnd w:id="17"/>
      <w:r w:rsidDel="00000000" w:rsidR="00000000" w:rsidRPr="00000000">
        <w:rPr>
          <w:color w:val="000000"/>
          <w:rtl w:val="0"/>
        </w:rPr>
        <w:t xml:space="preserve">Kaiser Family Foundation</w:t>
      </w:r>
    </w:p>
    <w:p w:rsidR="00000000" w:rsidDel="00000000" w:rsidP="00000000" w:rsidRDefault="00000000" w:rsidRPr="00000000" w14:paraId="0000002F">
      <w:pPr>
        <w:rPr/>
      </w:pPr>
      <w:r w:rsidDel="00000000" w:rsidR="00000000" w:rsidRPr="00000000">
        <w:rPr>
          <w:rtl w:val="0"/>
        </w:rPr>
        <w:tab/>
        <w:t xml:space="preserve">Health insurance estimates for uninsured population per state-year come from the Kaiser Family Foundation’s “Health Insurance Coverage of the Total Population” dataset. This data is originally sourced from the Census Bureau’s American Community Survey (ACS) and cleaned. We use this data to control for any potential relationship between lack of health insurance coverage and SUD treatment center counts.</w:t>
      </w:r>
      <w:r w:rsidDel="00000000" w:rsidR="00000000" w:rsidRPr="00000000">
        <w:rPr>
          <w:rtl w:val="0"/>
        </w:rPr>
      </w:r>
    </w:p>
    <w:p w:rsidR="00000000" w:rsidDel="00000000" w:rsidP="00000000" w:rsidRDefault="00000000" w:rsidRPr="00000000" w14:paraId="00000030">
      <w:pPr>
        <w:pStyle w:val="Heading3"/>
        <w:rPr>
          <w:color w:val="000000"/>
        </w:rPr>
      </w:pPr>
      <w:bookmarkStart w:colFirst="0" w:colLast="0" w:name="_fl4qnx75g99u" w:id="18"/>
      <w:bookmarkEnd w:id="18"/>
      <w:r w:rsidDel="00000000" w:rsidR="00000000" w:rsidRPr="00000000">
        <w:rPr>
          <w:color w:val="000000"/>
          <w:rtl w:val="0"/>
        </w:rPr>
        <w:t xml:space="preserve">Federal Reserve Bank of St. Louis</w:t>
      </w:r>
    </w:p>
    <w:p w:rsidR="00000000" w:rsidDel="00000000" w:rsidP="00000000" w:rsidRDefault="00000000" w:rsidRPr="00000000" w14:paraId="00000031">
      <w:pPr>
        <w:rPr/>
      </w:pPr>
      <w:r w:rsidDel="00000000" w:rsidR="00000000" w:rsidRPr="00000000">
        <w:rPr>
          <w:rtl w:val="0"/>
        </w:rPr>
        <w:tab/>
        <w:t xml:space="preserve">The Federal Reserve Bank of St. Louis (FRED) reports unemployment and income data (FRED U.S. Bureau of Labor Statistics, FRED U.S. Census Bureau). The unemployment data come from the U.S. Bureau of Labor Statistics’ Current Population Survey and report the number of unemployed people divided by the size of the civilian workforce in that area. Therefore, we use the unemployment percent in each state-year to control for potential workforce effects on SUD treatment center counts. The income data comes from the U.S. Census Bureau and estimates the median income in each state-year.</w:t>
      </w:r>
    </w:p>
    <w:p w:rsidR="00000000" w:rsidDel="00000000" w:rsidP="00000000" w:rsidRDefault="00000000" w:rsidRPr="00000000" w14:paraId="00000032">
      <w:pPr>
        <w:pStyle w:val="Heading3"/>
        <w:rPr>
          <w:color w:val="000000"/>
        </w:rPr>
      </w:pPr>
      <w:bookmarkStart w:colFirst="0" w:colLast="0" w:name="_rh7djw45dhi5" w:id="19"/>
      <w:bookmarkEnd w:id="19"/>
      <w:r w:rsidDel="00000000" w:rsidR="00000000" w:rsidRPr="00000000">
        <w:rPr>
          <w:color w:val="000000"/>
          <w:rtl w:val="0"/>
        </w:rPr>
        <w:t xml:space="preserve">Centers for Disease Control and Prevention</w:t>
      </w:r>
    </w:p>
    <w:p w:rsidR="00000000" w:rsidDel="00000000" w:rsidP="00000000" w:rsidRDefault="00000000" w:rsidRPr="00000000" w14:paraId="00000033">
      <w:pPr>
        <w:ind w:firstLine="720"/>
        <w:rPr/>
      </w:pPr>
      <w:r w:rsidDel="00000000" w:rsidR="00000000" w:rsidRPr="00000000">
        <w:rPr>
          <w:rtl w:val="0"/>
        </w:rPr>
        <w:t xml:space="preserve">The Centers for Disease Control and Prevention (CDC) releases demographic data about each state and year from the Census Bureau (CDC Wonder, 2021). This includes single-race, ethnicity, and gender population estimates reported as a percent. </w:t>
      </w:r>
    </w:p>
    <w:p w:rsidR="00000000" w:rsidDel="00000000" w:rsidP="00000000" w:rsidRDefault="00000000" w:rsidRPr="00000000" w14:paraId="00000034">
      <w:pPr>
        <w:pStyle w:val="Heading2"/>
        <w:spacing w:line="480" w:lineRule="auto"/>
        <w:ind w:firstLine="20"/>
        <w:rPr>
          <w:rFonts w:ascii="Times New Roman" w:cs="Times New Roman" w:eastAsia="Times New Roman" w:hAnsi="Times New Roman"/>
          <w:sz w:val="24"/>
          <w:szCs w:val="24"/>
        </w:rPr>
      </w:pPr>
      <w:bookmarkStart w:colFirst="0" w:colLast="0" w:name="_ws813tsjza23" w:id="20"/>
      <w:bookmarkEnd w:id="20"/>
      <w:r w:rsidDel="00000000" w:rsidR="00000000" w:rsidRPr="00000000">
        <w:rPr>
          <w:rFonts w:ascii="Times New Roman" w:cs="Times New Roman" w:eastAsia="Times New Roman" w:hAnsi="Times New Roman"/>
          <w:sz w:val="24"/>
          <w:szCs w:val="24"/>
          <w:rtl w:val="0"/>
        </w:rPr>
        <w:t xml:space="preserve">Study Period</w:t>
      </w:r>
    </w:p>
    <w:p w:rsidR="00000000" w:rsidDel="00000000" w:rsidP="00000000" w:rsidRDefault="00000000" w:rsidRPr="00000000" w14:paraId="00000035">
      <w:pPr>
        <w:spacing w:after="80" w:before="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of interest is each state-year. Our analysis was limited to the </w:t>
      </w:r>
      <w:r w:rsidDel="00000000" w:rsidR="00000000" w:rsidRPr="00000000">
        <w:rPr>
          <w:rtl w:val="0"/>
        </w:rPr>
        <w:t xml:space="preserve">years </w:t>
      </w:r>
      <w:r w:rsidDel="00000000" w:rsidR="00000000" w:rsidRPr="00000000">
        <w:rPr>
          <w:rFonts w:ascii="Times New Roman" w:cs="Times New Roman" w:eastAsia="Times New Roman" w:hAnsi="Times New Roman"/>
          <w:sz w:val="24"/>
          <w:szCs w:val="24"/>
          <w:rtl w:val="0"/>
        </w:rPr>
        <w:t xml:space="preserve">2013-2019 for multiple reasons:</w:t>
      </w:r>
    </w:p>
    <w:p w:rsidR="00000000" w:rsidDel="00000000" w:rsidP="00000000" w:rsidRDefault="00000000" w:rsidRPr="00000000" w14:paraId="00000036">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during the third wave of the opioid epidemic, marked by increased synthetic opioid availability and subsequent deaths beginning around 2013.</w:t>
      </w:r>
    </w:p>
    <w:p w:rsidR="00000000" w:rsidDel="00000000" w:rsidP="00000000" w:rsidRDefault="00000000" w:rsidRPr="00000000" w14:paraId="00000037">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post-implementation of the Affordable Care Act (ACA) in January 2014, which marked a shift in insurance availability, insurance coverage, and access to treatment.</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NSDUH substance use estimates end in </w:t>
      </w:r>
      <w:r w:rsidDel="00000000" w:rsidR="00000000" w:rsidRPr="00000000">
        <w:rPr>
          <w:rtl w:val="0"/>
        </w:rPr>
        <w:t xml:space="preserve">2018–2019</w:t>
      </w:r>
      <w:r w:rsidDel="00000000" w:rsidR="00000000" w:rsidRPr="00000000">
        <w:rPr>
          <w:rFonts w:ascii="Times New Roman" w:cs="Times New Roman" w:eastAsia="Times New Roman" w:hAnsi="Times New Roman"/>
          <w:sz w:val="24"/>
          <w:szCs w:val="24"/>
          <w:rtl w:val="0"/>
        </w:rPr>
        <w:t xml:space="preserve">, and NSSATS estimates for 2020 may be unstable/outliers due to the COVID-19 pandemic and proceeding economic recession. Qualitative studies have shown that the pandemic had substantial impacts on Califo</w:t>
      </w:r>
      <w:r w:rsidDel="00000000" w:rsidR="00000000" w:rsidRPr="00000000">
        <w:rPr>
          <w:rtl w:val="0"/>
        </w:rPr>
        <w:t xml:space="preserve">rnian </w:t>
      </w:r>
      <w:r w:rsidDel="00000000" w:rsidR="00000000" w:rsidRPr="00000000">
        <w:rPr>
          <w:rFonts w:ascii="Times New Roman" w:cs="Times New Roman" w:eastAsia="Times New Roman" w:hAnsi="Times New Roman"/>
          <w:sz w:val="24"/>
          <w:szCs w:val="24"/>
          <w:rtl w:val="0"/>
        </w:rPr>
        <w:t xml:space="preserve">residential treatment facilities (Pagano, 2021) and likely impacted other states and treatment settings as well.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NSSATS and NSDUH data was filtered to 2013-2019 and aggregated, counting for-profit, non-profit, government-owned, and tot</w:t>
      </w:r>
      <w:r w:rsidDel="00000000" w:rsidR="00000000" w:rsidRPr="00000000">
        <w:rPr>
          <w:rtl w:val="0"/>
        </w:rPr>
        <w:t xml:space="preserve">al</w:t>
      </w:r>
      <w:r w:rsidDel="00000000" w:rsidR="00000000" w:rsidRPr="00000000">
        <w:rPr>
          <w:rFonts w:ascii="Times New Roman" w:cs="Times New Roman" w:eastAsia="Times New Roman" w:hAnsi="Times New Roman"/>
          <w:sz w:val="24"/>
          <w:szCs w:val="24"/>
          <w:rtl w:val="0"/>
        </w:rPr>
        <w:t xml:space="preserve"> treatment centers in each state per year. Treatment demand measures were lagged because administrative barriers limit a treatment center from responding to demand in the same year it emerges. Then, control variables were joined onto the </w:t>
      </w:r>
      <w:r w:rsidDel="00000000" w:rsidR="00000000" w:rsidRPr="00000000">
        <w:rPr>
          <w:rtl w:val="0"/>
        </w:rPr>
        <w:t xml:space="preserve">SAMHSA</w:t>
      </w:r>
      <w:r w:rsidDel="00000000" w:rsidR="00000000" w:rsidRPr="00000000">
        <w:rPr>
          <w:rFonts w:ascii="Times New Roman" w:cs="Times New Roman" w:eastAsia="Times New Roman" w:hAnsi="Times New Roman"/>
          <w:sz w:val="24"/>
          <w:szCs w:val="24"/>
          <w:rtl w:val="0"/>
        </w:rPr>
        <w:t xml:space="preserve"> data for each state-year. A Mathematica Policy Research study in 2018 similarly used NSSATS and NSDUH data together to evaluate SUD supply and demand post-ACA, however focused on workforce shortages and measured demand using treatment utilization measures (ASPE, 2018).</w:t>
      </w:r>
    </w:p>
    <w:p w:rsidR="00000000" w:rsidDel="00000000" w:rsidP="00000000" w:rsidRDefault="00000000" w:rsidRPr="00000000" w14:paraId="0000003A">
      <w:pPr>
        <w:pStyle w:val="Heading2"/>
        <w:rPr/>
      </w:pPr>
      <w:bookmarkStart w:colFirst="0" w:colLast="0" w:name="_w96o5us52n2a" w:id="21"/>
      <w:bookmarkEnd w:id="21"/>
      <w:r w:rsidDel="00000000" w:rsidR="00000000" w:rsidRPr="00000000">
        <w:rPr>
          <w:rtl w:val="0"/>
        </w:rPr>
        <w:t xml:space="preserve">Measures</w:t>
      </w:r>
    </w:p>
    <w:p w:rsidR="00000000" w:rsidDel="00000000" w:rsidP="00000000" w:rsidRDefault="00000000" w:rsidRPr="00000000" w14:paraId="0000003B">
      <w:pPr>
        <w:pStyle w:val="Heading3"/>
        <w:rPr>
          <w:rFonts w:ascii="Times New Roman" w:cs="Times New Roman" w:eastAsia="Times New Roman" w:hAnsi="Times New Roman"/>
          <w:color w:val="000000"/>
          <w:sz w:val="24"/>
          <w:szCs w:val="24"/>
        </w:rPr>
      </w:pPr>
      <w:bookmarkStart w:colFirst="0" w:colLast="0" w:name="_h5s8jv1gwrsg" w:id="22"/>
      <w:bookmarkEnd w:id="22"/>
      <w:r w:rsidDel="00000000" w:rsidR="00000000" w:rsidRPr="00000000">
        <w:rPr>
          <w:rFonts w:ascii="Times New Roman" w:cs="Times New Roman" w:eastAsia="Times New Roman" w:hAnsi="Times New Roman"/>
          <w:color w:val="000000"/>
          <w:sz w:val="24"/>
          <w:szCs w:val="24"/>
          <w:rtl w:val="0"/>
        </w:rPr>
        <w:t xml:space="preserve">Outcome: </w:t>
      </w:r>
      <w:r w:rsidDel="00000000" w:rsidR="00000000" w:rsidRPr="00000000">
        <w:rPr>
          <w:color w:val="000000"/>
          <w:rtl w:val="0"/>
        </w:rPr>
        <w:t xml:space="preserve">c</w:t>
      </w:r>
      <w:r w:rsidDel="00000000" w:rsidR="00000000" w:rsidRPr="00000000">
        <w:rPr>
          <w:rFonts w:ascii="Times New Roman" w:cs="Times New Roman" w:eastAsia="Times New Roman" w:hAnsi="Times New Roman"/>
          <w:color w:val="000000"/>
          <w:sz w:val="24"/>
          <w:szCs w:val="24"/>
          <w:rtl w:val="0"/>
        </w:rPr>
        <w:t xml:space="preserve">ount of substance use treatment centers in each state-year</w:t>
      </w:r>
    </w:p>
    <w:p w:rsidR="00000000" w:rsidDel="00000000" w:rsidP="00000000" w:rsidRDefault="00000000" w:rsidRPr="00000000" w14:paraId="0000003C">
      <w:pPr>
        <w:ind w:firstLine="720"/>
        <w:rPr/>
      </w:pPr>
      <w:r w:rsidDel="00000000" w:rsidR="00000000" w:rsidRPr="00000000">
        <w:rPr>
          <w:rtl w:val="0"/>
        </w:rPr>
        <w:t xml:space="preserve">The NSSATS </w:t>
      </w:r>
      <w:r w:rsidDel="00000000" w:rsidR="00000000" w:rsidRPr="00000000">
        <w:rPr>
          <w:rtl w:val="0"/>
        </w:rPr>
        <w:t xml:space="preserve">OWNERSHP</w:t>
      </w:r>
      <w:r w:rsidDel="00000000" w:rsidR="00000000" w:rsidRPr="00000000">
        <w:rPr>
          <w:rtl w:val="0"/>
        </w:rPr>
        <w:t xml:space="preserve"> variable was used to split centers into profit types, with 1 (“private for-profit organization”) indicating for-profit treatment centers, 2 (“private non-profit organization”) indicating non-profit treatment centers, and 3 (“State Government”), 4 (“Local, county, or communal government”), 5 (“Tribal government”) and 6 (“Federal government”) grouped under government treatment centers. The data was aggregated to derive a count of each type of treatment center (for-profit, non-profit, government, total) for each state and year.</w:t>
      </w:r>
    </w:p>
    <w:p w:rsidR="00000000" w:rsidDel="00000000" w:rsidP="00000000" w:rsidRDefault="00000000" w:rsidRPr="00000000" w14:paraId="0000003D">
      <w:pPr>
        <w:pStyle w:val="Heading3"/>
        <w:spacing w:line="480" w:lineRule="auto"/>
        <w:rPr>
          <w:rFonts w:ascii="Times New Roman" w:cs="Times New Roman" w:eastAsia="Times New Roman" w:hAnsi="Times New Roman"/>
          <w:color w:val="000000"/>
          <w:sz w:val="24"/>
          <w:szCs w:val="24"/>
        </w:rPr>
      </w:pPr>
      <w:bookmarkStart w:colFirst="0" w:colLast="0" w:name="_pr1m7ksru5qb" w:id="23"/>
      <w:bookmarkEnd w:id="23"/>
      <w:r w:rsidDel="00000000" w:rsidR="00000000" w:rsidRPr="00000000">
        <w:rPr>
          <w:rFonts w:ascii="Times New Roman" w:cs="Times New Roman" w:eastAsia="Times New Roman" w:hAnsi="Times New Roman"/>
          <w:color w:val="000000"/>
          <w:sz w:val="24"/>
          <w:szCs w:val="24"/>
          <w:rtl w:val="0"/>
        </w:rPr>
        <w:t xml:space="preserve">Primary Predictors: Substance Use Prevalence in each State-Year</w:t>
      </w:r>
    </w:p>
    <w:p w:rsidR="00000000" w:rsidDel="00000000" w:rsidP="00000000" w:rsidRDefault="00000000" w:rsidRPr="00000000" w14:paraId="0000003E">
      <w:pPr>
        <w:ind w:firstLine="720"/>
        <w:rPr/>
      </w:pPr>
      <w:r w:rsidDel="00000000" w:rsidR="00000000" w:rsidRPr="00000000">
        <w:rPr>
          <w:rtl w:val="0"/>
        </w:rPr>
        <w:t xml:space="preserve">NSDUH changed their measures in 2014, limiting the ability to compare metrics spanning this time period. Therefore, this study analyzed the few substance use metrics that did not change, as other studies have done (Tomko, 2022).</w:t>
      </w:r>
    </w:p>
    <w:p w:rsidR="00000000" w:rsidDel="00000000" w:rsidP="00000000" w:rsidRDefault="00000000" w:rsidRPr="00000000" w14:paraId="0000003F">
      <w:pPr>
        <w:spacing w:after="6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cocaine use in the past year (COCYR)</w:t>
      </w:r>
    </w:p>
    <w:p w:rsidR="00000000" w:rsidDel="00000000" w:rsidP="00000000" w:rsidRDefault="00000000" w:rsidRPr="00000000" w14:paraId="00000040">
      <w:pPr>
        <w:spacing w:after="6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heroin use in the past year (HERYR)</w:t>
      </w:r>
    </w:p>
    <w:p w:rsidR="00000000" w:rsidDel="00000000" w:rsidP="00000000" w:rsidRDefault="00000000" w:rsidRPr="00000000" w14:paraId="00000041">
      <w:pPr>
        <w:spacing w:after="6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alcohol use disorder in the past year (ABODALC)</w:t>
      </w:r>
    </w:p>
    <w:p w:rsidR="00000000" w:rsidDel="00000000" w:rsidP="00000000" w:rsidRDefault="00000000" w:rsidRPr="00000000" w14:paraId="00000042">
      <w:pPr>
        <w:spacing w:after="6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marijuana use in the past month (MRJMON)</w:t>
      </w:r>
    </w:p>
    <w:p w:rsidR="00000000" w:rsidDel="00000000" w:rsidP="00000000" w:rsidRDefault="00000000" w:rsidRPr="00000000" w14:paraId="00000043">
      <w:pPr>
        <w:rPr/>
      </w:pPr>
      <w:r w:rsidDel="00000000" w:rsidR="00000000" w:rsidRPr="00000000">
        <w:rPr>
          <w:rtl w:val="0"/>
        </w:rPr>
        <w:t xml:space="preserve">The Benchmarked Small Area Estimate (BSAE) was used for each measure, representing the prevalence rate in the state. COCYR and HERYR BSAE measures were combined via average to consider an overall drug use prevalence metric (defined as (heroin + cocaine) / 2). Adult (persons above 18) prevalence rates were used.</w:t>
      </w:r>
    </w:p>
    <w:p w:rsidR="00000000" w:rsidDel="00000000" w:rsidP="00000000" w:rsidRDefault="00000000" w:rsidRPr="00000000" w14:paraId="00000044">
      <w:pPr>
        <w:pStyle w:val="Heading3"/>
        <w:rPr>
          <w:color w:val="000000"/>
        </w:rPr>
      </w:pPr>
      <w:bookmarkStart w:colFirst="0" w:colLast="0" w:name="_bo4rnro1pa3k" w:id="24"/>
      <w:bookmarkEnd w:id="24"/>
      <w:r w:rsidDel="00000000" w:rsidR="00000000" w:rsidRPr="00000000">
        <w:rPr>
          <w:color w:val="000000"/>
          <w:rtl w:val="0"/>
        </w:rPr>
        <w:t xml:space="preserve">Control Variables</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population </w:t>
      </w:r>
      <w:r w:rsidDel="00000000" w:rsidR="00000000" w:rsidRPr="00000000">
        <w:rPr>
          <w:rtl w:val="0"/>
        </w:rPr>
        <w:t xml:space="preserve">was</w:t>
      </w:r>
      <w:r w:rsidDel="00000000" w:rsidR="00000000" w:rsidRPr="00000000">
        <w:rPr>
          <w:rFonts w:ascii="Times New Roman" w:cs="Times New Roman" w:eastAsia="Times New Roman" w:hAnsi="Times New Roman"/>
          <w:sz w:val="24"/>
          <w:szCs w:val="24"/>
          <w:rtl w:val="0"/>
        </w:rPr>
        <w:t xml:space="preserve"> expected to be correlated </w:t>
      </w:r>
      <w:r w:rsidDel="00000000" w:rsidR="00000000" w:rsidRPr="00000000">
        <w:rPr>
          <w:rtl w:val="0"/>
        </w:rPr>
        <w:t xml:space="preserve">with the number</w:t>
      </w:r>
      <w:r w:rsidDel="00000000" w:rsidR="00000000" w:rsidRPr="00000000">
        <w:rPr>
          <w:rFonts w:ascii="Times New Roman" w:cs="Times New Roman" w:eastAsia="Times New Roman" w:hAnsi="Times New Roman"/>
          <w:sz w:val="24"/>
          <w:szCs w:val="24"/>
          <w:rtl w:val="0"/>
        </w:rPr>
        <w:t xml:space="preserve"> of treatment centers because </w:t>
      </w:r>
      <w:r w:rsidDel="00000000" w:rsidR="00000000" w:rsidRPr="00000000">
        <w:rPr>
          <w:rtl w:val="0"/>
        </w:rPr>
        <w:t xml:space="preserve">of the need for more treatment centers proportional to the number of people in the state. Financial variables (s</w:t>
      </w:r>
      <w:r w:rsidDel="00000000" w:rsidR="00000000" w:rsidRPr="00000000">
        <w:rPr>
          <w:rFonts w:ascii="Times New Roman" w:cs="Times New Roman" w:eastAsia="Times New Roman" w:hAnsi="Times New Roman"/>
          <w:sz w:val="24"/>
          <w:szCs w:val="24"/>
          <w:rtl w:val="0"/>
        </w:rPr>
        <w:t xml:space="preserve">tate spending on healthcare, Medicaid enrollment, uninsurance rates</w:t>
      </w:r>
      <w:r w:rsidDel="00000000" w:rsidR="00000000" w:rsidRPr="00000000">
        <w:rPr>
          <w:rtl w:val="0"/>
        </w:rPr>
        <w:t xml:space="preserve">, and income) were</w:t>
      </w:r>
      <w:r w:rsidDel="00000000" w:rsidR="00000000" w:rsidRPr="00000000">
        <w:rPr>
          <w:rFonts w:ascii="Times New Roman" w:cs="Times New Roman" w:eastAsia="Times New Roman" w:hAnsi="Times New Roman"/>
          <w:sz w:val="24"/>
          <w:szCs w:val="24"/>
          <w:rtl w:val="0"/>
        </w:rPr>
        <w:t xml:space="preserve"> hypothesized to represent the state’s investment in healthcare </w:t>
      </w:r>
      <w:r w:rsidDel="00000000" w:rsidR="00000000" w:rsidRPr="00000000">
        <w:rPr>
          <w:rtl w:val="0"/>
        </w:rPr>
        <w:t xml:space="preserve">and ability to pay for SUD treatment services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also hypothesized that state demographics (sex, race, ethnicity) may be related to perceptions of substance use and acceptability of treatment, which could relate to the number of treatment centers. Therefore, we control for</w:t>
      </w:r>
      <w:r w:rsidDel="00000000" w:rsidR="00000000" w:rsidRPr="00000000">
        <w:rPr>
          <w:rtl w:val="0"/>
        </w:rPr>
        <w:t xml:space="preserve"> population, financial, and demographic variables in each state-year.</w:t>
      </w:r>
      <w:r w:rsidDel="00000000" w:rsidR="00000000" w:rsidRPr="00000000">
        <w:rPr>
          <w:rtl w:val="0"/>
        </w:rPr>
      </w:r>
    </w:p>
    <w:p w:rsidR="00000000" w:rsidDel="00000000" w:rsidP="00000000" w:rsidRDefault="00000000" w:rsidRPr="00000000" w14:paraId="00000046">
      <w:pPr>
        <w:pStyle w:val="Heading2"/>
        <w:keepNext w:val="0"/>
        <w:keepLines w:val="0"/>
        <w:spacing w:after="80" w:before="160" w:line="480.0003750000001" w:lineRule="auto"/>
        <w:rPr>
          <w:rFonts w:ascii="Times New Roman" w:cs="Times New Roman" w:eastAsia="Times New Roman" w:hAnsi="Times New Roman"/>
          <w:sz w:val="24"/>
          <w:szCs w:val="24"/>
        </w:rPr>
      </w:pPr>
      <w:bookmarkStart w:colFirst="0" w:colLast="0" w:name="_oxcu6rcd7d8r" w:id="25"/>
      <w:bookmarkEnd w:id="25"/>
      <w:r w:rsidDel="00000000" w:rsidR="00000000" w:rsidRPr="00000000">
        <w:rPr>
          <w:rFonts w:ascii="Times New Roman" w:cs="Times New Roman" w:eastAsia="Times New Roman" w:hAnsi="Times New Roman"/>
          <w:sz w:val="24"/>
          <w:szCs w:val="24"/>
          <w:rtl w:val="0"/>
        </w:rPr>
        <w:t xml:space="preserve">Statistical Analysis</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resultant dataset allowed a balanced panel analysis of the relationship between substance use prevalence and the count of SUD treatment centers per state-year. A generalized linear model (GLM) with mixed effects (family: negative binomial) was chosen to model the count of treatment centers (Figures A1 – A3). </w:t>
      </w:r>
      <w:r w:rsidDel="00000000" w:rsidR="00000000" w:rsidRPr="00000000">
        <w:rPr>
          <w:rtl w:val="0"/>
        </w:rPr>
        <w:t xml:space="preserve">The negative binomial link function is a powerful option for modeling count data which is overdispersed (Greene 2007, Salman 2013, Guerrero 2016). </w:t>
      </w:r>
      <w:r w:rsidDel="00000000" w:rsidR="00000000" w:rsidRPr="00000000">
        <w:rPr>
          <w:rFonts w:ascii="Times New Roman" w:cs="Times New Roman" w:eastAsia="Times New Roman" w:hAnsi="Times New Roman"/>
          <w:sz w:val="24"/>
          <w:szCs w:val="24"/>
          <w:rtl w:val="0"/>
        </w:rPr>
        <w:t xml:space="preserve">Random effects were included to allow different intercepts for each state and year. </w:t>
      </w:r>
      <w:r w:rsidDel="00000000" w:rsidR="00000000" w:rsidRPr="00000000">
        <w:rPr>
          <w:rtl w:val="0"/>
        </w:rPr>
        <w:t xml:space="preserve">R</w:t>
      </w:r>
      <w:r w:rsidDel="00000000" w:rsidR="00000000" w:rsidRPr="00000000">
        <w:rPr>
          <w:rtl w:val="0"/>
        </w:rPr>
        <w:t xml:space="preserve">esults are reported as Incidence Rate Ratios (IRR) by taking the exponent of each coefficient, and are reported along with 95% confidence intervals (CI), standard errors (SE), and p-values. </w:t>
      </w:r>
      <w:r w:rsidDel="00000000" w:rsidR="00000000" w:rsidRPr="00000000">
        <w:rPr>
          <w:rFonts w:ascii="Times New Roman" w:cs="Times New Roman" w:eastAsia="Times New Roman" w:hAnsi="Times New Roman"/>
          <w:sz w:val="24"/>
          <w:szCs w:val="24"/>
          <w:rtl w:val="0"/>
        </w:rPr>
        <w:t xml:space="preserve">Significance </w:t>
      </w:r>
      <w:r w:rsidDel="00000000" w:rsidR="00000000" w:rsidRPr="00000000">
        <w:rPr>
          <w:rtl w:val="0"/>
        </w:rPr>
        <w:t xml:space="preserve">tests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alpha = 0.05</w:t>
      </w:r>
      <w:r w:rsidDel="00000000" w:rsidR="00000000" w:rsidRPr="00000000">
        <w:rPr>
          <w:rFonts w:ascii="Times New Roman" w:cs="Times New Roman" w:eastAsia="Times New Roman" w:hAnsi="Times New Roman"/>
          <w:sz w:val="24"/>
          <w:szCs w:val="24"/>
          <w:rtl w:val="0"/>
        </w:rPr>
        <w:t xml:space="preserve">. Four separate models were fit with total treatment center count </w:t>
      </w:r>
      <w:r w:rsidDel="00000000" w:rsidR="00000000" w:rsidRPr="00000000">
        <w:rPr>
          <w:rtl w:val="0"/>
        </w:rPr>
        <w:t xml:space="preserve">(summing all three profit types)</w:t>
      </w:r>
      <w:r w:rsidDel="00000000" w:rsidR="00000000" w:rsidRPr="00000000">
        <w:rPr>
          <w:rFonts w:ascii="Times New Roman" w:cs="Times New Roman" w:eastAsia="Times New Roman" w:hAnsi="Times New Roman"/>
          <w:sz w:val="24"/>
          <w:szCs w:val="24"/>
          <w:rtl w:val="0"/>
        </w:rPr>
        <w:t xml:space="preserve">, for-profit treatment center count, non-profit treatment center count, and government treatment center count as the outcome.</w:t>
      </w:r>
      <w:r w:rsidDel="00000000" w:rsidR="00000000" w:rsidRPr="00000000">
        <w:rPr>
          <w:rtl w:val="0"/>
        </w:rPr>
      </w:r>
    </w:p>
    <w:p w:rsidR="00000000" w:rsidDel="00000000" w:rsidP="00000000" w:rsidRDefault="00000000" w:rsidRPr="00000000" w14:paraId="00000048">
      <w:pPr>
        <w:pStyle w:val="Heading3"/>
        <w:ind w:left="0" w:firstLine="0"/>
        <w:rPr>
          <w:rFonts w:ascii="Times New Roman" w:cs="Times New Roman" w:eastAsia="Times New Roman" w:hAnsi="Times New Roman"/>
          <w:color w:val="000000"/>
          <w:sz w:val="24"/>
          <w:szCs w:val="24"/>
        </w:rPr>
      </w:pPr>
      <w:bookmarkStart w:colFirst="0" w:colLast="0" w:name="_gd9slmp2kq3k" w:id="26"/>
      <w:bookmarkEnd w:id="26"/>
      <w:r w:rsidDel="00000000" w:rsidR="00000000" w:rsidRPr="00000000">
        <w:rPr>
          <w:rFonts w:ascii="Times New Roman" w:cs="Times New Roman" w:eastAsia="Times New Roman" w:hAnsi="Times New Roman"/>
          <w:color w:val="000000"/>
          <w:sz w:val="24"/>
          <w:szCs w:val="24"/>
          <w:rtl w:val="0"/>
        </w:rPr>
        <w:t xml:space="preserve">Model Definition</w:t>
      </w:r>
    </w:p>
    <w:p w:rsidR="00000000" w:rsidDel="00000000" w:rsidP="00000000" w:rsidRDefault="00000000" w:rsidRPr="00000000" w14:paraId="00000049">
      <w:pPr>
        <w:ind w:firstLine="720"/>
        <w:rPr/>
      </w:pP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Negative Binomial fixed effects</w:t>
      </w:r>
      <w:r w:rsidDel="00000000" w:rsidR="00000000" w:rsidRPr="00000000">
        <w:rPr>
          <w:rtl w:val="0"/>
        </w:rPr>
        <w:t xml:space="preserve"> model was estimated using the equation below. This allows us to examine the correlation between substance use disorder and the total number of treatment centers within a state over time. </w:t>
      </w:r>
    </w:p>
    <w:p w:rsidR="00000000" w:rsidDel="00000000" w:rsidP="00000000" w:rsidRDefault="00000000" w:rsidRPr="00000000" w14:paraId="0000004A">
      <w:pPr>
        <w:ind w:firstLine="720"/>
        <w:rPr>
          <w:rFonts w:ascii="Times New Roman" w:cs="Times New Roman" w:eastAsia="Times New Roman" w:hAnsi="Times New Roman"/>
        </w:rPr>
      </w:pPr>
      <m:oMath>
        <m:sSub>
          <m:sSubPr>
            <m:ctrlPr>
              <w:rPr>
                <w:rFonts w:ascii="Times New Roman" w:cs="Times New Roman" w:eastAsia="Times New Roman" w:hAnsi="Times New Roman"/>
                <w:i w:val="1"/>
              </w:rPr>
            </m:ctrlPr>
          </m:sSubPr>
          <m:e>
            <m:r>
              <w:rPr>
                <w:rFonts w:ascii="Times New Roman" w:cs="Times New Roman" w:eastAsia="Times New Roman" w:hAnsi="Times New Roman"/>
                <w:i w:val="1"/>
              </w:rPr>
              <m:t xml:space="preserve">Y</m:t>
            </m:r>
          </m:e>
          <m:sub>
            <m:r>
              <w:rPr>
                <w:rFonts w:ascii="Times New Roman" w:cs="Times New Roman" w:eastAsia="Times New Roman" w:hAnsi="Times New Roman"/>
                <w:i w:val="1"/>
              </w:rPr>
              <m:t xml:space="preserve">it</m:t>
            </m:r>
          </m:sub>
        </m:sSub>
        <m:r>
          <w:rPr>
            <w:rFonts w:ascii="Times New Roman" w:cs="Times New Roman" w:eastAsia="Times New Roman" w:hAnsi="Times New Roman"/>
            <w:i w:val="1"/>
          </w:rPr>
          <m:t xml:space="preserve"> = </m:t>
        </m:r>
      </m:oMath>
      <m:oMath>
        <m:sSub>
          <m:sSubPr>
            <m:ctrlPr>
              <w:rPr>
                <w:rFonts w:ascii="Times New Roman" w:cs="Times New Roman" w:eastAsia="Times New Roman" w:hAnsi="Times New Roman"/>
                <w:i w:val="1"/>
              </w:rPr>
            </m:ctrlPr>
          </m:sSubPr>
          <m:e>
            <m:r>
              <m:t>β</m:t>
            </m:r>
          </m:e>
          <m:sub>
            <m:r>
              <w:rPr>
                <w:rFonts w:ascii="Times New Roman" w:cs="Times New Roman" w:eastAsia="Times New Roman" w:hAnsi="Times New Roman"/>
                <w:i w:val="1"/>
              </w:rPr>
              <m:t xml:space="preserve">0</m:t>
            </m:r>
          </m:sub>
        </m:sSub>
        <m:r>
          <w:rPr>
            <w:rFonts w:ascii="Times New Roman" w:cs="Times New Roman" w:eastAsia="Times New Roman" w:hAnsi="Times New Roman"/>
            <w:i w:val="1"/>
          </w:rPr>
          <m:t xml:space="preserve"> + </m:t>
        </m:r>
        <m:sSub>
          <m:sSubPr>
            <m:ctrlPr>
              <w:rPr/>
            </m:ctrlPr>
          </m:sSubPr>
          <m:e>
            <m:r>
              <w:rPr>
                <w:rFonts w:ascii="Times New Roman" w:cs="Times New Roman" w:eastAsia="Times New Roman" w:hAnsi="Times New Roman"/>
                <w:i w:val="1"/>
              </w:rPr>
              <m:t>β</m:t>
            </m:r>
          </m:e>
          <m:sub>
            <m:r>
              <w:rPr/>
              <m:t xml:space="preserve">1</m:t>
            </m:r>
          </m:sub>
        </m:sSub>
        <m:sSub>
          <m:sSubPr>
            <m:ctrlPr>
              <w:rPr/>
            </m:ctrlPr>
          </m:sSubPr>
          <m:e>
            <m:r>
              <w:rPr/>
              <m:t xml:space="preserve">laggeddruguse</m:t>
            </m:r>
          </m:e>
          <m:sub>
            <m:r>
              <w:rPr/>
              <m:t xml:space="preserve">it</m:t>
            </m:r>
          </m:sub>
        </m:sSub>
        <m:r>
          <w:rPr/>
          <m:t xml:space="preserve">+</m:t>
        </m:r>
        <m:sSub>
          <m:sSubPr>
            <m:ctrlPr>
              <w:rPr/>
            </m:ctrlPr>
          </m:sSubPr>
          <m:e>
            <m:r>
              <w:rPr/>
              <m:t>β</m:t>
            </m:r>
          </m:e>
          <m:sub>
            <m:r>
              <w:rPr/>
              <m:t xml:space="preserve">2</m:t>
            </m:r>
          </m:sub>
        </m:sSub>
        <m:sSub>
          <m:sSubPr>
            <m:ctrlPr>
              <w:rPr/>
            </m:ctrlPr>
          </m:sSubPr>
          <m:e>
            <m:r>
              <w:rPr/>
              <m:t xml:space="preserve">laggedAUD</m:t>
            </m:r>
          </m:e>
          <m:sub>
            <m:r>
              <w:rPr/>
              <m:t xml:space="preserve">it</m:t>
            </m:r>
          </m:sub>
        </m:sSub>
        <m:r>
          <w:rPr/>
          <m:t xml:space="preserve">+</m:t>
        </m:r>
        <m:sSub>
          <m:sSubPr>
            <m:ctrlPr>
              <w:rPr/>
            </m:ctrlPr>
          </m:sSubPr>
          <m:e>
            <m:r>
              <w:rPr/>
              <m:t>β</m:t>
            </m:r>
          </m:e>
          <m:sub>
            <m:r>
              <w:rPr/>
              <m:t xml:space="preserve">3</m:t>
            </m:r>
          </m:sub>
        </m:sSub>
        <m:sSub>
          <m:sSubPr>
            <m:ctrlPr>
              <w:rPr/>
            </m:ctrlPr>
          </m:sSubPr>
          <m:e>
            <m:r>
              <w:rPr/>
              <m:t xml:space="preserve">laggedmarijuanause</m:t>
            </m:r>
          </m:e>
          <m:sub>
            <m:r>
              <w:rPr/>
              <m:t xml:space="preserve">it</m:t>
            </m:r>
          </m:sub>
        </m:sSub>
        <m:r>
          <w:rPr/>
          <m:t xml:space="preserve"> +</m:t>
        </m:r>
        <m:r>
          <w:rPr/>
          <m:t>α</m:t>
        </m:r>
        <m:sSub>
          <m:sSubPr>
            <m:ctrlPr>
              <w:rPr/>
            </m:ctrlPr>
          </m:sSubPr>
          <m:e>
            <m:r>
              <w:rPr/>
              <m:t xml:space="preserve">X</m:t>
            </m:r>
          </m:e>
          <m:sub>
            <m:r>
              <w:rPr/>
              <m:t xml:space="preserve">it</m:t>
            </m:r>
          </m:sub>
        </m:sSub>
        <m:r>
          <w:rPr/>
          <m:t xml:space="preserve">+</m:t>
        </m:r>
        <m:sSub>
          <m:sSubPr>
            <m:ctrlPr>
              <w:rPr/>
            </m:ctrlPr>
          </m:sSubPr>
          <m:e>
            <m:r>
              <w:rPr/>
              <m:t>υ</m:t>
            </m:r>
          </m:e>
          <m:sub>
            <m:r>
              <w:rPr/>
              <m:t xml:space="preserve">i</m:t>
            </m:r>
          </m:sub>
        </m:sSub>
        <m:r>
          <w:rPr/>
          <m:t xml:space="preserve">+</m:t>
        </m:r>
        <m:sSub>
          <m:sSubPr>
            <m:ctrlPr>
              <w:rPr/>
            </m:ctrlPr>
          </m:sSubPr>
          <m:e>
            <m:r>
              <w:rPr/>
              <m:t>φ</m:t>
            </m:r>
          </m:e>
          <m:sub>
            <m:r>
              <w:rPr/>
              <m:t xml:space="preserve">t</m:t>
            </m:r>
          </m:sub>
        </m:sSub>
        <m:r>
          <w:rPr/>
          <m:t xml:space="preserve">+</m:t>
        </m:r>
        <m:sSub>
          <m:sSubPr>
            <m:ctrlPr>
              <w:rPr/>
            </m:ctrlPr>
          </m:sSubPr>
          <m:e>
            <m:r>
              <w:rPr/>
              <m:t>ε</m:t>
            </m:r>
          </m:e>
          <m:sub>
            <m:r>
              <w:rPr/>
              <m:t xml:space="preserve">it</m:t>
            </m:r>
          </m:sub>
        </m:sSub>
      </m:oMath>
      <w:r w:rsidDel="00000000" w:rsidR="00000000" w:rsidRPr="00000000">
        <w:rPr>
          <w:rtl w:val="0"/>
        </w:rPr>
      </w:r>
    </w:p>
    <w:p w:rsidR="00000000" w:rsidDel="00000000" w:rsidP="00000000" w:rsidRDefault="00000000" w:rsidRPr="00000000" w14:paraId="0000004B">
      <w:pPr>
        <w:ind w:left="0" w:firstLine="0"/>
        <w:rPr/>
      </w:pPr>
      <w:commentRangeStart w:id="7"/>
      <w:commentRangeStart w:id="8"/>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represents the count of treatment centers by profit type for state i at year t. The </w:t>
      </w:r>
      <w:r w:rsidDel="00000000" w:rsidR="00000000" w:rsidRPr="00000000">
        <w:rPr>
          <w:rtl w:val="0"/>
        </w:rPr>
        <w:t xml:space="preserve">three</w:t>
      </w:r>
      <w:r w:rsidDel="00000000" w:rsidR="00000000" w:rsidRPr="00000000">
        <w:rPr>
          <w:rFonts w:ascii="Times New Roman" w:cs="Times New Roman" w:eastAsia="Times New Roman" w:hAnsi="Times New Roman"/>
          <w:sz w:val="24"/>
          <w:szCs w:val="24"/>
          <w:rtl w:val="0"/>
        </w:rPr>
        <w:t xml:space="preserve"> main explanatory variables are the lag of drug use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alcohol use disorder</w:t>
      </w:r>
      <w:r w:rsidDel="00000000" w:rsidR="00000000" w:rsidRPr="00000000">
        <w:rPr>
          <w:rtl w:val="0"/>
        </w:rPr>
        <w:t xml:space="preserve">, and marijuana use </w:t>
      </w:r>
      <w:r w:rsidDel="00000000" w:rsidR="00000000" w:rsidRPr="00000000">
        <w:rPr>
          <w:rFonts w:ascii="Times New Roman" w:cs="Times New Roman" w:eastAsia="Times New Roman" w:hAnsi="Times New Roman"/>
          <w:sz w:val="24"/>
          <w:szCs w:val="24"/>
          <w:rtl w:val="0"/>
        </w:rPr>
        <w:t xml:space="preserve">for each state and time. The term </w:t>
      </w:r>
      <w:commentRangeEnd w:id="7"/>
      <w:r w:rsidDel="00000000" w:rsidR="00000000" w:rsidRPr="00000000">
        <w:commentReference w:id="7"/>
      </w:r>
      <w:commentRangeEnd w:id="8"/>
      <w:r w:rsidDel="00000000" w:rsidR="00000000" w:rsidRPr="00000000">
        <w:commentReference w:id="8"/>
      </w:r>
      <m:oMath>
        <m:r>
          <m:t>α</m:t>
        </m:r>
      </m:oMath>
      <w:commentRangeStart w:id="9"/>
      <w:commentRangeStart w:id="10"/>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is a vector of coefficients </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m:oMath>
        <m:r>
          <m:t>α</m:t>
        </m:r>
        <m:r>
          <w:rPr/>
          <m:t xml:space="preserve">)</m:t>
        </m:r>
      </m:oMath>
      <w:r w:rsidDel="00000000" w:rsidR="00000000" w:rsidRPr="00000000">
        <w:rPr>
          <w:i w:val="1"/>
          <w:rtl w:val="0"/>
        </w:rPr>
        <w:t xml:space="preserve"> </w:t>
      </w:r>
      <w:r w:rsidDel="00000000" w:rsidR="00000000" w:rsidRPr="00000000">
        <w:rPr>
          <w:rtl w:val="0"/>
        </w:rPr>
        <w:t xml:space="preserve">associated with the </w:t>
      </w:r>
      <w:commentRangeStart w:id="11"/>
      <w:commentRangeStart w:id="12"/>
      <w:r w:rsidDel="00000000" w:rsidR="00000000" w:rsidRPr="00000000">
        <w:rPr>
          <w:rFonts w:ascii="Times New Roman" w:cs="Times New Roman" w:eastAsia="Times New Roman" w:hAnsi="Times New Roman"/>
          <w:sz w:val="24"/>
          <w:szCs w:val="24"/>
          <w:rtl w:val="0"/>
        </w:rPr>
        <w:t xml:space="preserve">control variables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m:oMath>
        <m:sSub>
          <m:sSubPr>
            <m:ctrlPr>
              <w:rPr/>
            </m:ctrlPr>
          </m:sSubPr>
          <m:e>
            <m:r>
              <w:rPr/>
              <m:t xml:space="preserve">X</m:t>
            </m:r>
          </m:e>
          <m:sub>
            <m:r>
              <w:rPr/>
              <m:t xml:space="preserve">it</m:t>
            </m:r>
          </m:sub>
        </m:sSub>
      </m:oMath>
      <w:commentRangeStart w:id="13"/>
      <w:commentRangeStart w:id="14"/>
      <w:r w:rsidDel="00000000" w:rsidR="00000000" w:rsidRPr="00000000">
        <w:rPr>
          <w:rFonts w:ascii="Times New Roman" w:cs="Times New Roman" w:eastAsia="Times New Roman" w:hAnsi="Times New Roman"/>
          <w:sz w:val="24"/>
          <w:szCs w:val="24"/>
          <w:rtl w:val="0"/>
        </w:rPr>
        <w:t xml:space="preserve">) including population in millions, income, per capita Medicaid enrollment, share of male gender, unemployment rate, per capita health spending, share of uninsured population, share of Latino or Hispanic ethnic group and the share of the white race in each state at year t. </w:t>
      </w:r>
      <m:oMath>
        <m:sSub>
          <m:sSubPr>
            <m:ctrlPr>
              <w:rPr>
                <w:rFonts w:ascii="Times New Roman" w:cs="Times New Roman" w:eastAsia="Times New Roman" w:hAnsi="Times New Roman"/>
                <w:sz w:val="24"/>
                <w:szCs w:val="24"/>
              </w:rPr>
            </m:ctrlPr>
          </m:sSubPr>
          <m:e>
            <m:r>
              <m:t>υ</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represents state and year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fixed </w:t>
      </w:r>
      <w:r w:rsidDel="00000000" w:rsidR="00000000" w:rsidRPr="00000000">
        <w:rPr>
          <w:rtl w:val="0"/>
        </w:rPr>
        <w:t xml:space="preserve">effects,</w:t>
      </w:r>
      <w:r w:rsidDel="00000000" w:rsidR="00000000" w:rsidRPr="00000000">
        <w:rPr>
          <w:rFonts w:ascii="Times New Roman" w:cs="Times New Roman" w:eastAsia="Times New Roman" w:hAnsi="Times New Roman"/>
          <w:sz w:val="24"/>
          <w:szCs w:val="24"/>
          <w:rtl w:val="0"/>
        </w:rPr>
        <w:t xml:space="preserve"> which </w:t>
      </w:r>
      <w:r w:rsidDel="00000000" w:rsidR="00000000" w:rsidRPr="00000000">
        <w:rPr>
          <w:rtl w:val="0"/>
        </w:rPr>
        <w:t xml:space="preserve">capture</w:t>
      </w:r>
      <w:r w:rsidDel="00000000" w:rsidR="00000000" w:rsidRPr="00000000">
        <w:rPr>
          <w:rFonts w:ascii="Times New Roman" w:cs="Times New Roman" w:eastAsia="Times New Roman" w:hAnsi="Times New Roman"/>
          <w:sz w:val="24"/>
          <w:szCs w:val="24"/>
          <w:rtl w:val="0"/>
        </w:rPr>
        <w:t xml:space="preserve"> any state specific effects (such as </w:t>
      </w:r>
      <w:r w:rsidDel="00000000" w:rsidR="00000000" w:rsidRPr="00000000">
        <w:rPr>
          <w:rtl w:val="0"/>
        </w:rPr>
        <w:t xml:space="preserve">state policy</w:t>
      </w:r>
      <w:r w:rsidDel="00000000" w:rsidR="00000000" w:rsidRPr="00000000">
        <w:rPr>
          <w:rFonts w:ascii="Times New Roman" w:cs="Times New Roman" w:eastAsia="Times New Roman" w:hAnsi="Times New Roman"/>
          <w:sz w:val="24"/>
          <w:szCs w:val="24"/>
          <w:rtl w:val="0"/>
        </w:rPr>
        <w:t xml:space="preserve">) and year </w:t>
      </w:r>
      <w:r w:rsidDel="00000000" w:rsidR="00000000" w:rsidRPr="00000000">
        <w:rPr>
          <w:rtl w:val="0"/>
        </w:rPr>
        <w:t xml:space="preserve">effects (such as time-varying investment in SUD), and</w:t>
      </w:r>
      <w:r w:rsidDel="00000000" w:rsidR="00000000" w:rsidRPr="00000000">
        <w:rPr>
          <w:rFonts w:ascii="Times New Roman" w:cs="Times New Roman" w:eastAsia="Times New Roman" w:hAnsi="Times New Roman"/>
          <w:sz w:val="24"/>
          <w:szCs w:val="24"/>
          <w:rtl w:val="0"/>
        </w:rPr>
        <w:t xml:space="preserve"> </w:t>
      </w:r>
      <m:oMath>
        <m:sSub>
          <m:sSubPr>
            <m:ctrlPr>
              <w:rPr/>
            </m:ctrlPr>
          </m:sSubPr>
          <m:e>
            <m:r>
              <m:t>ε</m:t>
            </m:r>
          </m:e>
          <m:sub>
            <m:r>
              <w:rPr/>
              <m:t xml:space="preserve">it</m:t>
            </m:r>
          </m:sub>
        </m:sSub>
      </m:oMath>
      <w:r w:rsidDel="00000000" w:rsidR="00000000" w:rsidRPr="00000000">
        <w:rPr>
          <w:rtl w:val="0"/>
        </w:rPr>
        <w:t xml:space="preserve"> is the error term.</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Endogeneity due to potential reverse causality poses a key challenge in identifying causal estimates of substance use and treatment centers because the relationship between the two variables can be bidirectional. On one hand, the presence of effective treatment centers might lead to decreased substance use, thus lowering substance use rates. On the other hand, higher rates of substance use in a region could lead to the establishment of more treatment centers to address the increased demand for treatment. This simultaneous influence makes it difficult to determine the direction of causality. Therefore, we only establish correlational relationships between substance use and treatment centers.</w:t>
      </w:r>
      <w:r w:rsidDel="00000000" w:rsidR="00000000" w:rsidRPr="00000000">
        <w:rPr>
          <w:rtl w:val="0"/>
        </w:rPr>
      </w:r>
    </w:p>
    <w:p w:rsidR="00000000" w:rsidDel="00000000" w:rsidP="00000000" w:rsidRDefault="00000000" w:rsidRPr="00000000" w14:paraId="0000004D">
      <w:pPr>
        <w:pStyle w:val="Heading3"/>
        <w:keepNext w:val="0"/>
        <w:keepLines w:val="0"/>
        <w:spacing w:after="80" w:before="160" w:line="480.0003750000001" w:lineRule="auto"/>
        <w:rPr>
          <w:rFonts w:ascii="Times New Roman" w:cs="Times New Roman" w:eastAsia="Times New Roman" w:hAnsi="Times New Roman"/>
          <w:color w:val="000000"/>
          <w:sz w:val="24"/>
          <w:szCs w:val="24"/>
        </w:rPr>
      </w:pPr>
      <w:bookmarkStart w:colFirst="0" w:colLast="0" w:name="_gu8591u7wpcw" w:id="27"/>
      <w:bookmarkEnd w:id="27"/>
      <w:r w:rsidDel="00000000" w:rsidR="00000000" w:rsidRPr="00000000">
        <w:rPr>
          <w:rFonts w:ascii="Times New Roman" w:cs="Times New Roman" w:eastAsia="Times New Roman" w:hAnsi="Times New Roman"/>
          <w:color w:val="000000"/>
          <w:sz w:val="24"/>
          <w:szCs w:val="24"/>
          <w:rtl w:val="0"/>
        </w:rPr>
        <w:t xml:space="preserve">Software</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lme4 package was used to model the GLM relationship and ensure model consistency via multiple estimation methods to assess non-convergence warnings (Bates, 2015).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gtsummary package in R was used for summary stat</w:t>
      </w:r>
      <w:r w:rsidDel="00000000" w:rsidR="00000000" w:rsidRPr="00000000">
        <w:rPr>
          <w:rtl w:val="0"/>
        </w:rPr>
        <w:t xml:space="preserve">istics and table creation (Sjoberg, 2021). </w:t>
      </w:r>
      <w:r w:rsidDel="00000000" w:rsidR="00000000" w:rsidRPr="00000000">
        <w:rPr>
          <w:rFonts w:ascii="Times New Roman" w:cs="Times New Roman" w:eastAsia="Times New Roman" w:hAnsi="Times New Roman"/>
          <w:sz w:val="24"/>
          <w:szCs w:val="24"/>
          <w:rtl w:val="0"/>
        </w:rPr>
        <w:t xml:space="preserve">R version 4.3.1 (2023-06-16) was used for all analyses (R Core Team, 2023), and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ST</w:t>
      </w:r>
      <w:r w:rsidDel="00000000" w:rsidR="00000000" w:rsidRPr="00000000">
        <w:rPr>
          <w:rtl w:val="0"/>
        </w:rPr>
        <w:t xml:space="preserve">ATA version 18 was used to plot Figure 1 (StataCorp, 2023).</w:t>
      </w:r>
      <w:r w:rsidDel="00000000" w:rsidR="00000000" w:rsidRPr="00000000">
        <w:rPr>
          <w:rtl w:val="0"/>
        </w:rPr>
      </w:r>
    </w:p>
    <w:p w:rsidR="00000000" w:rsidDel="00000000" w:rsidP="00000000" w:rsidRDefault="00000000" w:rsidRPr="00000000" w14:paraId="0000004F">
      <w:pPr>
        <w:pStyle w:val="Heading1"/>
        <w:ind w:left="0" w:firstLine="0"/>
        <w:rPr>
          <w:rFonts w:ascii="Times New Roman" w:cs="Times New Roman" w:eastAsia="Times New Roman" w:hAnsi="Times New Roman"/>
          <w:sz w:val="24"/>
          <w:szCs w:val="24"/>
        </w:rPr>
      </w:pPr>
      <w:bookmarkStart w:colFirst="0" w:colLast="0" w:name="_tim0z6i719uf" w:id="28"/>
      <w:bookmarkEnd w:id="28"/>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number of for-profit treatment centers surveyed by NSSATS increased substantially from 4,631</w:t>
      </w:r>
      <w:r w:rsidDel="00000000" w:rsidR="00000000" w:rsidRPr="00000000">
        <w:rPr>
          <w:rtl w:val="0"/>
        </w:rPr>
        <w:t xml:space="preserve"> in 2015 to 6,307 in 2019</w:t>
      </w:r>
      <w:r w:rsidDel="00000000" w:rsidR="00000000" w:rsidRPr="00000000">
        <w:rPr>
          <w:rFonts w:ascii="Times New Roman" w:cs="Times New Roman" w:eastAsia="Times New Roman" w:hAnsi="Times New Roman"/>
          <w:sz w:val="24"/>
          <w:szCs w:val="24"/>
          <w:rtl w:val="0"/>
        </w:rPr>
        <w:t xml:space="preserve">; non-profit treatment centers increased slightly from </w:t>
      </w:r>
      <w:r w:rsidDel="00000000" w:rsidR="00000000" w:rsidRPr="00000000">
        <w:rPr>
          <w:rtl w:val="0"/>
        </w:rPr>
        <w:t xml:space="preserve">7,479 in 2015 to 7,976 in </w:t>
      </w:r>
      <w:r w:rsidDel="00000000" w:rsidR="00000000" w:rsidRPr="00000000">
        <w:rPr>
          <w:rFonts w:ascii="Times New Roman" w:cs="Times New Roman" w:eastAsia="Times New Roman" w:hAnsi="Times New Roman"/>
          <w:sz w:val="24"/>
          <w:szCs w:val="24"/>
          <w:rtl w:val="0"/>
        </w:rPr>
        <w:t xml:space="preserve">2019; and government treatment centers decreased slightly from </w:t>
      </w:r>
      <w:r w:rsidDel="00000000" w:rsidR="00000000" w:rsidRPr="00000000">
        <w:rPr>
          <w:rtl w:val="0"/>
        </w:rPr>
        <w:t xml:space="preserve">1,608 in</w:t>
      </w:r>
      <w:r w:rsidDel="00000000" w:rsidR="00000000" w:rsidRPr="00000000">
        <w:rPr>
          <w:rFonts w:ascii="Times New Roman" w:cs="Times New Roman" w:eastAsia="Times New Roman" w:hAnsi="Times New Roman"/>
          <w:sz w:val="24"/>
          <w:szCs w:val="24"/>
          <w:rtl w:val="0"/>
        </w:rPr>
        <w:t xml:space="preserve"> 2015 to </w:t>
      </w:r>
      <w:r w:rsidDel="00000000" w:rsidR="00000000" w:rsidRPr="00000000">
        <w:rPr>
          <w:rtl w:val="0"/>
        </w:rPr>
        <w:t xml:space="preserve">1,569 in </w:t>
      </w:r>
      <w:r w:rsidDel="00000000" w:rsidR="00000000" w:rsidRPr="00000000">
        <w:rPr>
          <w:rFonts w:ascii="Times New Roman" w:cs="Times New Roman" w:eastAsia="Times New Roman" w:hAnsi="Times New Roman"/>
          <w:sz w:val="24"/>
          <w:szCs w:val="24"/>
          <w:rtl w:val="0"/>
        </w:rPr>
        <w:t xml:space="preserve">2019 (Figure 1).</w:t>
      </w:r>
      <w:r w:rsidDel="00000000" w:rsidR="00000000" w:rsidRPr="00000000">
        <w:rPr>
          <w:rFonts w:ascii="Times New Roman" w:cs="Times New Roman" w:eastAsia="Times New Roman" w:hAnsi="Times New Roman"/>
          <w:sz w:val="24"/>
          <w:szCs w:val="24"/>
          <w:rtl w:val="0"/>
        </w:rPr>
        <w:t xml:space="preserve"> These changes varied widely between states (Appendix A1). All three profit types saw a decrease in 2017, which presumably can be attributed to fewer treatment centers responding to the survey that year and not treatment centers closing in 2017 and re-opening in 2018. However, this assumption cannot be confirmed.</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T</w:t>
      </w:r>
      <w:r w:rsidDel="00000000" w:rsidR="00000000" w:rsidRPr="00000000">
        <w:rPr>
          <w:rtl w:val="0"/>
        </w:rPr>
        <w:t xml:space="preserve">he descriptive statistics for all variables used in this study for all 51 jurisdictions from 2015 to 2019 are in Table 1. On average, we find a high number of non-profit treatment centers, followed by for-profit centers, and then government centers. This is evident in Figure 1, which shows a higher share of non-profit centers per total number of treatment centers over time, with for-profit centers increasing since 2015. Moreover, we find an increased prevalence of marijuana use, with an average of 9.43% over the sample period. </w:t>
      </w:r>
      <w:r w:rsidDel="00000000" w:rsidR="00000000" w:rsidRPr="00000000">
        <w:rPr>
          <w:rtl w:val="0"/>
        </w:rPr>
        <w:t xml:space="preserve">In Figure 1, we also show an increasing trend in the use of marijuana from 2015 to 2019.</w:t>
      </w:r>
      <w:r w:rsidDel="00000000" w:rsidR="00000000" w:rsidRPr="00000000">
        <w:rPr>
          <w:rtl w:val="0"/>
        </w:rPr>
        <w:t xml:space="preserve"> This is followed by alcohol use, with a 6.45% average, showing a steady reduction in the trend over the period. Heroin usage was mostly stable over this period, and cocaine usage increased slightly. </w:t>
      </w:r>
      <w:r w:rsidDel="00000000" w:rsidR="00000000" w:rsidRPr="00000000">
        <w:rPr>
          <w:rtl w:val="0"/>
        </w:rPr>
        <w:t xml:space="preserve">These trends vary across the states, with the Northeast reporting highest prevalence of drug use and the South and West reporting lowest prevalence, as shown in Appendix Table A2.</w:t>
      </w:r>
      <w:r w:rsidDel="00000000" w:rsidR="00000000" w:rsidRPr="00000000">
        <w:rPr>
          <w:rtl w:val="0"/>
        </w:rPr>
      </w:r>
    </w:p>
    <w:p w:rsidR="00000000" w:rsidDel="00000000" w:rsidP="00000000" w:rsidRDefault="00000000" w:rsidRPr="00000000" w14:paraId="00000052">
      <w:pPr>
        <w:spacing w:after="240" w:before="240" w:lineRule="auto"/>
        <w:ind w:firstLine="720"/>
        <w:rPr>
          <w:rFonts w:ascii="Times New Roman" w:cs="Times New Roman" w:eastAsia="Times New Roman" w:hAnsi="Times New Roman"/>
          <w:sz w:val="24"/>
          <w:szCs w:val="24"/>
        </w:rPr>
      </w:pPr>
      <w:r w:rsidDel="00000000" w:rsidR="00000000" w:rsidRPr="00000000">
        <w:rPr>
          <w:rtl w:val="0"/>
        </w:rPr>
        <w:t xml:space="preserve">In addition to the treatment center data, we also analyzed key demographic and economic variables such as population, income, per capita health spending, and unemployment rates. The average population across the states was 6.37 million. Income levels varied, with an average annual income of $73,283.76. Per capita health spending was substantial, averaging $9,250 over the period. The unemployment rate averaged 4.23%, reflecting a moderate level of unemployment during these years.</w:t>
      </w:r>
      <w:r w:rsidDel="00000000" w:rsidR="00000000" w:rsidRPr="00000000">
        <w:rPr>
          <w:rtl w:val="0"/>
        </w:rPr>
      </w:r>
    </w:p>
    <w:p w:rsidR="00000000" w:rsidDel="00000000" w:rsidP="00000000" w:rsidRDefault="00000000" w:rsidRPr="00000000" w14:paraId="00000053">
      <w:pPr>
        <w:pStyle w:val="Heading2"/>
        <w:ind w:left="0" w:firstLine="0"/>
        <w:rPr/>
      </w:pPr>
      <w:bookmarkStart w:colFirst="0" w:colLast="0" w:name="_vb4jofhoajco" w:id="29"/>
      <w:bookmarkEnd w:id="29"/>
      <w:r w:rsidDel="00000000" w:rsidR="00000000" w:rsidRPr="00000000">
        <w:rPr>
          <w:rtl w:val="0"/>
        </w:rPr>
        <w:t xml:space="preserve">Model Selection</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collinearity assessment revealed that predictors are not highly correlated (</w:t>
      </w:r>
      <w:r w:rsidDel="00000000" w:rsidR="00000000" w:rsidRPr="00000000">
        <w:rPr>
          <w:rtl w:val="0"/>
        </w:rPr>
        <w:t xml:space="preserve">Table</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 The highest correlations were between illicit drug use and health spending showing a</w:t>
      </w:r>
      <w:r w:rsidDel="00000000" w:rsidR="00000000" w:rsidRPr="00000000">
        <w:rPr>
          <w:rtl w:val="0"/>
        </w:rPr>
        <w:t xml:space="preserve"> correlation of 60.5%</w:t>
      </w:r>
      <w:r w:rsidDel="00000000" w:rsidR="00000000" w:rsidRPr="00000000">
        <w:rPr>
          <w:rFonts w:ascii="Times New Roman" w:cs="Times New Roman" w:eastAsia="Times New Roman" w:hAnsi="Times New Roman"/>
          <w:sz w:val="24"/>
          <w:szCs w:val="24"/>
          <w:rtl w:val="0"/>
        </w:rPr>
        <w:t xml:space="preserve">, and illicit drug use and marijuana use which has a correlation of 76.2</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Because no covariates were highly correlated</w:t>
      </w:r>
      <w:r w:rsidDel="00000000" w:rsidR="00000000" w:rsidRPr="00000000">
        <w:rPr>
          <w:rFonts w:ascii="Times New Roman" w:cs="Times New Roman" w:eastAsia="Times New Roman" w:hAnsi="Times New Roman"/>
          <w:sz w:val="24"/>
          <w:szCs w:val="24"/>
          <w:rtl w:val="0"/>
        </w:rPr>
        <w:t xml:space="preserve">, the final model </w:t>
      </w:r>
      <w:r w:rsidDel="00000000" w:rsidR="00000000" w:rsidRPr="00000000">
        <w:rPr>
          <w:sz w:val="24"/>
          <w:szCs w:val="24"/>
          <w:rtl w:val="0"/>
        </w:rPr>
        <w:t xml:space="preserve">predicted the count of treatment centers (outcome) using fixed effects of lagged drug use prevalence</w:t>
      </w:r>
      <w:r w:rsidDel="00000000" w:rsidR="00000000" w:rsidRPr="00000000">
        <w:rPr>
          <w:rtl w:val="0"/>
        </w:rPr>
        <w:t xml:space="preserve">, </w:t>
      </w:r>
      <w:r w:rsidDel="00000000" w:rsidR="00000000" w:rsidRPr="00000000">
        <w:rPr>
          <w:sz w:val="24"/>
          <w:szCs w:val="24"/>
          <w:rtl w:val="0"/>
        </w:rPr>
        <w:t xml:space="preserve">lagged AUD prevalence, </w:t>
      </w:r>
      <w:r w:rsidDel="00000000" w:rsidR="00000000" w:rsidRPr="00000000">
        <w:rPr>
          <w:rtl w:val="0"/>
        </w:rPr>
        <w:t xml:space="preserve">lagged marijuana use prevalence</w:t>
      </w:r>
      <w:r w:rsidDel="00000000" w:rsidR="00000000" w:rsidRPr="00000000">
        <w:rPr>
          <w:sz w:val="24"/>
          <w:szCs w:val="24"/>
          <w:rtl w:val="0"/>
        </w:rPr>
        <w:t xml:space="preserve">, and controlled for the state’s </w:t>
      </w:r>
      <w:r w:rsidDel="00000000" w:rsidR="00000000" w:rsidRPr="00000000">
        <w:rPr>
          <w:rtl w:val="0"/>
        </w:rPr>
        <w:t xml:space="preserve">demographic and economic characteristics</w:t>
      </w:r>
      <w:r w:rsidDel="00000000" w:rsidR="00000000" w:rsidRPr="00000000">
        <w:rPr>
          <w:sz w:val="24"/>
          <w:szCs w:val="24"/>
          <w:rtl w:val="0"/>
        </w:rPr>
        <w:t xml:space="preserve">, with crossed random effects for both state and year.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model was fit with a panel dataset of 255 observations, for the 50 states and D.C. over five years.</w:t>
      </w:r>
    </w:p>
    <w:p w:rsidR="00000000" w:rsidDel="00000000" w:rsidP="00000000" w:rsidRDefault="00000000" w:rsidRPr="00000000" w14:paraId="00000055">
      <w:pPr>
        <w:pStyle w:val="Heading3"/>
        <w:keepNext w:val="0"/>
        <w:keepLines w:val="0"/>
        <w:spacing w:before="160" w:line="479.9995714285714" w:lineRule="auto"/>
        <w:rPr>
          <w:color w:val="000000"/>
        </w:rPr>
      </w:pPr>
      <w:bookmarkStart w:colFirst="0" w:colLast="0" w:name="_l46c0ebznmcx" w:id="30"/>
      <w:bookmarkEnd w:id="30"/>
      <w:r w:rsidDel="00000000" w:rsidR="00000000" w:rsidRPr="00000000">
        <w:rPr>
          <w:color w:val="000000"/>
          <w:rtl w:val="0"/>
        </w:rPr>
        <w:t xml:space="preserve">Main Results</w:t>
      </w:r>
    </w:p>
    <w:p w:rsidR="00000000" w:rsidDel="00000000" w:rsidP="00000000" w:rsidRDefault="00000000" w:rsidRPr="00000000" w14:paraId="00000056">
      <w:pPr>
        <w:ind w:firstLine="720"/>
        <w:rPr/>
      </w:pPr>
      <w:r w:rsidDel="00000000" w:rsidR="00000000" w:rsidRPr="00000000">
        <w:rPr>
          <w:rtl w:val="0"/>
        </w:rPr>
        <w:t xml:space="preserve">We estimate the correlation between substance use and total number of treatment centers at the state-year level. The result is shown in the second column of Table 2. The results indicate a significantly positive correlation between the lag of drug use on the total number of treatment centers within a state over the sample period, all else being equal. We do not find any significant correlation between AUD and the total number of treatment centers. </w:t>
      </w:r>
    </w:p>
    <w:p w:rsidR="00000000" w:rsidDel="00000000" w:rsidP="00000000" w:rsidRDefault="00000000" w:rsidRPr="00000000" w14:paraId="00000057">
      <w:pPr>
        <w:ind w:firstLine="720"/>
        <w:rPr>
          <w:shd w:fill="f1c232" w:val="clear"/>
        </w:rPr>
      </w:pPr>
      <w:r w:rsidDel="00000000" w:rsidR="00000000" w:rsidRPr="00000000">
        <w:rPr>
          <w:rtl w:val="0"/>
        </w:rPr>
        <w:t xml:space="preserve">In column 4, we also show the results from regressing lagged AUD and drug use on for-profit centers only. </w:t>
      </w:r>
      <w:r w:rsidDel="00000000" w:rsidR="00000000" w:rsidRPr="00000000">
        <w:rPr>
          <w:rFonts w:ascii="Times New Roman" w:cs="Times New Roman" w:eastAsia="Times New Roman" w:hAnsi="Times New Roman"/>
          <w:sz w:val="24"/>
          <w:szCs w:val="24"/>
          <w:rtl w:val="0"/>
        </w:rPr>
        <w:t xml:space="preserve">The results </w:t>
      </w:r>
      <w:r w:rsidDel="00000000" w:rsidR="00000000" w:rsidRPr="00000000">
        <w:rPr>
          <w:rtl w:val="0"/>
        </w:rPr>
        <w:t xml:space="preserve">indicate that</w:t>
      </w:r>
      <w:r w:rsidDel="00000000" w:rsidR="00000000" w:rsidRPr="00000000">
        <w:rPr>
          <w:rFonts w:ascii="Times New Roman" w:cs="Times New Roman" w:eastAsia="Times New Roman" w:hAnsi="Times New Roman"/>
          <w:sz w:val="24"/>
          <w:szCs w:val="24"/>
          <w:rtl w:val="0"/>
        </w:rPr>
        <w:t xml:space="preserve"> previous two years’ drug use prevalence and the previous two years’ AUD prevalence </w:t>
      </w:r>
      <w:r w:rsidDel="00000000" w:rsidR="00000000" w:rsidRPr="00000000">
        <w:rPr>
          <w:rtl w:val="0"/>
        </w:rPr>
        <w:t xml:space="preserve">are</w:t>
      </w:r>
      <w:r w:rsidDel="00000000" w:rsidR="00000000" w:rsidRPr="00000000">
        <w:rPr>
          <w:rFonts w:ascii="Times New Roman" w:cs="Times New Roman" w:eastAsia="Times New Roman" w:hAnsi="Times New Roman"/>
          <w:sz w:val="24"/>
          <w:szCs w:val="24"/>
          <w:rtl w:val="0"/>
        </w:rPr>
        <w:t xml:space="preserve"> significantly associated with the number of for-profit treatment centers in each state-year. States’ lagged </w:t>
      </w:r>
      <w:r w:rsidDel="00000000" w:rsidR="00000000" w:rsidRPr="00000000">
        <w:rPr>
          <w:rtl w:val="0"/>
        </w:rPr>
        <w:t xml:space="preserve">drug</w:t>
      </w:r>
      <w:r w:rsidDel="00000000" w:rsidR="00000000" w:rsidRPr="00000000">
        <w:rPr>
          <w:rFonts w:ascii="Times New Roman" w:cs="Times New Roman" w:eastAsia="Times New Roman" w:hAnsi="Times New Roman"/>
          <w:sz w:val="24"/>
          <w:szCs w:val="24"/>
          <w:rtl w:val="0"/>
        </w:rPr>
        <w:t xml:space="preserve"> use prevalence was associated with an increase in for-profit treatment centers per state-year, however AUD prevalence was associated with a decrease in the number of for-profit treatment centers per state-year after controlling for </w:t>
      </w:r>
      <w:r w:rsidDel="00000000" w:rsidR="00000000" w:rsidRPr="00000000">
        <w:rPr>
          <w:rtl w:val="0"/>
        </w:rPr>
        <w:t xml:space="preserve">other variables. W</w:t>
      </w:r>
      <w:r w:rsidDel="00000000" w:rsidR="00000000" w:rsidRPr="00000000">
        <w:rPr>
          <w:rtl w:val="0"/>
        </w:rPr>
        <w:t xml:space="preserve">e do not find any significant correlation between lagged AUD, drug use and the number of non-profit or government treatment centers after controlling for key demographic and economic variables. </w:t>
      </w:r>
      <w:r w:rsidDel="00000000" w:rsidR="00000000" w:rsidRPr="00000000">
        <w:rPr>
          <w:rtl w:val="0"/>
        </w:rPr>
        <w:t xml:space="preserve">Our results indicate that the correlation between drug and alcohol use and the total number of treatment centers is predominantly driven by for-profit centers rather than non-profit or government facilities. </w:t>
      </w:r>
      <w:r w:rsidDel="00000000" w:rsidR="00000000" w:rsidRPr="00000000">
        <w:rPr>
          <w:rtl w:val="0"/>
        </w:rPr>
      </w:r>
    </w:p>
    <w:p w:rsidR="00000000" w:rsidDel="00000000" w:rsidP="00000000" w:rsidRDefault="00000000" w:rsidRPr="00000000" w14:paraId="00000058">
      <w:pPr>
        <w:pStyle w:val="Heading3"/>
        <w:rPr/>
      </w:pPr>
      <w:bookmarkStart w:colFirst="0" w:colLast="0" w:name="_7fwqjpu02u2n" w:id="31"/>
      <w:bookmarkEnd w:id="31"/>
      <w:r w:rsidDel="00000000" w:rsidR="00000000" w:rsidRPr="00000000">
        <w:rPr>
          <w:rtl w:val="0"/>
        </w:rPr>
        <w:t xml:space="preserve">State-Level Variation</w:t>
      </w:r>
    </w:p>
    <w:p w:rsidR="00000000" w:rsidDel="00000000" w:rsidP="00000000" w:rsidRDefault="00000000" w:rsidRPr="00000000" w14:paraId="00000059">
      <w:pPr>
        <w:ind w:firstLine="720"/>
        <w:rPr/>
      </w:pPr>
      <w:r w:rsidDel="00000000" w:rsidR="00000000" w:rsidRPr="00000000">
        <w:rPr>
          <w:rtl w:val="0"/>
        </w:rPr>
        <w:t xml:space="preserve">The five states with the largest for-profit positive random effects were Kentucky (1.21), Colorado (1.17), Maryland (1.16), North Carolina (1.06), and Utah (0.98) (in green in Figure 2). These states had higher for-profit treatment counts than the average country-wide model estimated. On the opposite end, Vermont (-1.78),  District of Columbia (-1.55), Wyoming (-1.18), California (-1.12) and Connecticut (-1.11) had the largest negative random effects (in red in Figure 2). These states require a lower intercept on the for-profit treatment count model than the average country-wide for-profit treatment count model. Similar analyses for the non-profit and government centers are available in Figure 2.</w:t>
      </w:r>
    </w:p>
    <w:p w:rsidR="00000000" w:rsidDel="00000000" w:rsidP="00000000" w:rsidRDefault="00000000" w:rsidRPr="00000000" w14:paraId="0000005A">
      <w:pPr>
        <w:pStyle w:val="Heading3"/>
        <w:rPr>
          <w:color w:val="000000"/>
        </w:rPr>
      </w:pPr>
      <w:bookmarkStart w:colFirst="0" w:colLast="0" w:name="_1b4s6kna6322" w:id="32"/>
      <w:bookmarkEnd w:id="32"/>
      <w:r w:rsidDel="00000000" w:rsidR="00000000" w:rsidRPr="00000000">
        <w:rPr>
          <w:color w:val="000000"/>
          <w:rtl w:val="0"/>
        </w:rPr>
        <w:t xml:space="preserve">Sensitivity Analysis after model warnings</w:t>
      </w:r>
    </w:p>
    <w:p w:rsidR="00000000" w:rsidDel="00000000" w:rsidP="00000000" w:rsidRDefault="00000000" w:rsidRPr="00000000" w14:paraId="0000005B">
      <w:pPr>
        <w:ind w:firstLine="720"/>
        <w:rPr/>
      </w:pPr>
      <w:r w:rsidDel="00000000" w:rsidR="00000000" w:rsidRPr="00000000">
        <w:rPr>
          <w:rtl w:val="0"/>
        </w:rPr>
        <w:t xml:space="preserve">The lme4 glmer package raised model convergence warnings on the non-profit and government centers, so sensitivity analysis was performed using the allFit function as directed by the lme4 convergence “gold standard” (convergence function – Rdocumentation). This approach ensured that other model estimation methods arrived at similar results despite convergence warnings. The test results are in the appendix, Table A5 and A6, and increase confidence that the models indeed converged appropriately because all methods arrive at similar results. See the convergence and lme4 documentation for more information on the various model estimation methods.</w:t>
      </w:r>
      <w:r w:rsidDel="00000000" w:rsidR="00000000" w:rsidRPr="00000000">
        <w:rPr>
          <w:rtl w:val="0"/>
        </w:rPr>
      </w:r>
    </w:p>
    <w:p w:rsidR="00000000" w:rsidDel="00000000" w:rsidP="00000000" w:rsidRDefault="00000000" w:rsidRPr="00000000" w14:paraId="0000005C">
      <w:pPr>
        <w:pStyle w:val="Heading1"/>
        <w:ind w:left="0" w:firstLine="0"/>
        <w:rPr/>
      </w:pPr>
      <w:bookmarkStart w:colFirst="0" w:colLast="0" w:name="_suktyi2wdlp7" w:id="33"/>
      <w:bookmarkEnd w:id="33"/>
      <w:r w:rsidDel="00000000" w:rsidR="00000000" w:rsidRPr="00000000">
        <w:rPr>
          <w:rtl w:val="0"/>
        </w:rPr>
        <w:t xml:space="preserve">Discussion</w:t>
      </w:r>
    </w:p>
    <w:p w:rsidR="00000000" w:rsidDel="00000000" w:rsidP="00000000" w:rsidRDefault="00000000" w:rsidRPr="00000000" w14:paraId="0000005D">
      <w:pPr>
        <w:ind w:firstLine="720"/>
        <w:rPr/>
      </w:pPr>
      <w:r w:rsidDel="00000000" w:rsidR="00000000" w:rsidRPr="00000000">
        <w:rPr>
          <w:rtl w:val="0"/>
        </w:rPr>
        <w:t xml:space="preserve">Our</w:t>
      </w:r>
      <w:r w:rsidDel="00000000" w:rsidR="00000000" w:rsidRPr="00000000">
        <w:rPr>
          <w:rtl w:val="0"/>
        </w:rPr>
        <w:t xml:space="preserve"> findings suggest that the establishment of for-profit treatment centers is closely linked to areas with higher levels of substance use. </w:t>
      </w:r>
      <w:r w:rsidDel="00000000" w:rsidR="00000000" w:rsidRPr="00000000">
        <w:rPr>
          <w:rtl w:val="0"/>
        </w:rPr>
        <w:t xml:space="preserve">Similarly, Mojtabai et al. used NSSATS and NSDUH data</w:t>
      </w:r>
      <w:r w:rsidDel="00000000" w:rsidR="00000000" w:rsidRPr="00000000">
        <w:rPr>
          <w:rtl w:val="0"/>
        </w:rPr>
        <w:t xml:space="preserve"> in a 2019 study and found that treatment facilities in states with higher opioid overdose death rates are more likely to offer medication treatment for opioid use </w:t>
      </w:r>
      <w:r w:rsidDel="00000000" w:rsidR="00000000" w:rsidRPr="00000000">
        <w:rPr>
          <w:rtl w:val="0"/>
        </w:rPr>
        <w:t xml:space="preserve">(Mojtabai, 2019)</w:t>
      </w:r>
      <w:r w:rsidDel="00000000" w:rsidR="00000000" w:rsidRPr="00000000">
        <w:rPr>
          <w:rtl w:val="0"/>
        </w:rPr>
        <w:t xml:space="preserve">.</w:t>
      </w:r>
      <w:r w:rsidDel="00000000" w:rsidR="00000000" w:rsidRPr="00000000">
        <w:rPr>
          <w:rtl w:val="0"/>
        </w:rPr>
        <w:t xml:space="preserve"> While our study considers all treatment centers (not only opioid treatment) regardless of whether they provide medication, our findings support their conclusion that drug use prevalence in each state is related to SUD treatment characteristics, and further reveals that profit type plays a role.</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For-profit centers, with their market-driven business models, are likely to be more responsive to the demand for substance use treatment in regions experiencing higher rates of drug and alcohol use. In contrast, non-profit and government treatment centers show a weaker correlation with substance use levels. These facilities often focus on broader service goals and community health needs rather than profit margins, which could explain their less pronounced association with higher substance use rates. This insight underscores the importance of considering the differing motivations of various types of treatment centers when developing policy and resource allocation strategies. Understanding that for-profit centers are a significant driver of this correlation can inform targeted public health interventions.</w:t>
      </w:r>
    </w:p>
    <w:p w:rsidR="00000000" w:rsidDel="00000000" w:rsidP="00000000" w:rsidRDefault="00000000" w:rsidRPr="00000000" w14:paraId="0000005F">
      <w:pPr>
        <w:ind w:firstLine="720"/>
        <w:rPr/>
      </w:pPr>
      <w:r w:rsidDel="00000000" w:rsidR="00000000" w:rsidRPr="00000000">
        <w:rPr>
          <w:rtl w:val="0"/>
        </w:rPr>
        <w:t xml:space="preserve">We also provide corollary evidence on the correlation between key demographic and economic variables and the total number of treatment centers. We find positive correlation between total population in a state over time on all treatment center profit types. Our results reveal potential evidence that states with higher numbers of people have a higher number of treatment centers relative to states with lesser populations. Additionally, we observe a significantly positive correlation between the share of male population and government treatment centers.</w:t>
      </w:r>
      <w:r w:rsidDel="00000000" w:rsidR="00000000" w:rsidRPr="00000000">
        <w:rPr>
          <w:rtl w:val="0"/>
        </w:rPr>
      </w:r>
    </w:p>
    <w:p w:rsidR="00000000" w:rsidDel="00000000" w:rsidP="00000000" w:rsidRDefault="00000000" w:rsidRPr="00000000" w14:paraId="00000060">
      <w:pPr>
        <w:pStyle w:val="Heading2"/>
        <w:keepNext w:val="0"/>
        <w:keepLines w:val="0"/>
        <w:spacing w:before="160" w:line="479.9995714285714" w:lineRule="auto"/>
        <w:rPr/>
      </w:pPr>
      <w:bookmarkStart w:colFirst="0" w:colLast="0" w:name="_2u0v1xm2hbg" w:id="34"/>
      <w:bookmarkEnd w:id="34"/>
      <w:r w:rsidDel="00000000" w:rsidR="00000000" w:rsidRPr="00000000">
        <w:rPr>
          <w:rtl w:val="0"/>
        </w:rPr>
        <w:t xml:space="preserve">Investigation into State- and Year- level Variation</w:t>
      </w:r>
    </w:p>
    <w:p w:rsidR="00000000" w:rsidDel="00000000" w:rsidP="00000000" w:rsidRDefault="00000000" w:rsidRPr="00000000" w14:paraId="00000061">
      <w:pPr>
        <w:spacing w:line="480" w:lineRule="auto"/>
        <w:ind w:left="0" w:firstLine="720"/>
        <w:jc w:val="left"/>
        <w:rPr/>
      </w:pPr>
      <w:r w:rsidDel="00000000" w:rsidR="00000000" w:rsidRPr="00000000">
        <w:rPr>
          <w:rFonts w:ascii="Times New Roman" w:cs="Times New Roman" w:eastAsia="Times New Roman" w:hAnsi="Times New Roman"/>
          <w:sz w:val="24"/>
          <w:szCs w:val="24"/>
          <w:rtl w:val="0"/>
        </w:rPr>
        <w:t xml:space="preserve">The random effects -</w:t>
      </w:r>
      <w:r w:rsidDel="00000000" w:rsidR="00000000" w:rsidRPr="00000000">
        <w:rPr>
          <w:rtl w:val="0"/>
        </w:rPr>
        <w:t xml:space="preserve"> interpreted as the difference in the estimate for that state from the overall intercept</w:t>
      </w:r>
      <w:r w:rsidDel="00000000" w:rsidR="00000000" w:rsidRPr="00000000">
        <w:rPr>
          <w:rFonts w:ascii="Times New Roman" w:cs="Times New Roman" w:eastAsia="Times New Roman" w:hAnsi="Times New Roman"/>
          <w:sz w:val="24"/>
          <w:szCs w:val="24"/>
          <w:rtl w:val="0"/>
        </w:rPr>
        <w:t xml:space="preserve"> for each state in this model - are interesting. </w:t>
      </w:r>
      <w:r w:rsidDel="00000000" w:rsidR="00000000" w:rsidRPr="00000000">
        <w:rPr>
          <w:rtl w:val="0"/>
        </w:rPr>
        <w:t xml:space="preserve">Taking a</w:t>
      </w:r>
      <w:r w:rsidDel="00000000" w:rsidR="00000000" w:rsidRPr="00000000">
        <w:rPr>
          <w:rtl w:val="0"/>
        </w:rPr>
        <w:t xml:space="preserve"> closer look at for-profit random effects, </w:t>
      </w:r>
      <w:r w:rsidDel="00000000" w:rsidR="00000000" w:rsidRPr="00000000">
        <w:rPr>
          <w:rFonts w:ascii="Times New Roman" w:cs="Times New Roman" w:eastAsia="Times New Roman" w:hAnsi="Times New Roman"/>
          <w:sz w:val="24"/>
          <w:szCs w:val="24"/>
          <w:rtl w:val="0"/>
        </w:rPr>
        <w:t xml:space="preserve">California stands out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G</w:t>
      </w:r>
      <w:r w:rsidDel="00000000" w:rsidR="00000000" w:rsidRPr="00000000">
        <w:rPr>
          <w:rFonts w:ascii="Times New Roman" w:cs="Times New Roman" w:eastAsia="Times New Roman" w:hAnsi="Times New Roman"/>
          <w:sz w:val="24"/>
          <w:szCs w:val="24"/>
          <w:rtl w:val="0"/>
        </w:rPr>
        <w:t xml:space="preserve">iven that California had the largest increase in for-profit treatment centers during this time and has been criticized harshly for a predatory for-profit SUD treatment industry (Rehab Riviera, 2024), the negative random intercept was unexpected. This may be partially explained by California’s large population and other demographic </w:t>
      </w:r>
      <w:r w:rsidDel="00000000" w:rsidR="00000000" w:rsidRPr="00000000">
        <w:rPr>
          <w:rtl w:val="0"/>
        </w:rPr>
        <w:t xml:space="preserve">or economic factors, which were controlled for in the model</w:t>
      </w:r>
      <w:r w:rsidDel="00000000" w:rsidR="00000000" w:rsidRPr="00000000">
        <w:rPr>
          <w:rFonts w:ascii="Times New Roman" w:cs="Times New Roman" w:eastAsia="Times New Roman" w:hAnsi="Times New Roman"/>
          <w:sz w:val="24"/>
          <w:szCs w:val="24"/>
          <w:rtl w:val="0"/>
        </w:rPr>
        <w:t xml:space="preserve">. Another alternative is that when broadening the scope beyond California’s shocking numbers, the country on average shows more drastic increases in for-profit treatment centers than </w:t>
      </w:r>
      <w:r w:rsidDel="00000000" w:rsidR="00000000" w:rsidRPr="00000000">
        <w:rPr>
          <w:rtl w:val="0"/>
        </w:rPr>
        <w:t xml:space="preserve">California</w:t>
      </w:r>
      <w:r w:rsidDel="00000000" w:rsidR="00000000" w:rsidRPr="00000000">
        <w:rPr>
          <w:rFonts w:ascii="Times New Roman" w:cs="Times New Roman" w:eastAsia="Times New Roman" w:hAnsi="Times New Roman"/>
          <w:sz w:val="24"/>
          <w:szCs w:val="24"/>
          <w:rtl w:val="0"/>
        </w:rPr>
        <w:t xml:space="preserve"> given their </w:t>
      </w:r>
      <w:r w:rsidDel="00000000" w:rsidR="00000000" w:rsidRPr="00000000">
        <w:rPr>
          <w:rtl w:val="0"/>
        </w:rPr>
        <w:t xml:space="preserve">demographics and population</w:t>
      </w:r>
      <w:r w:rsidDel="00000000" w:rsidR="00000000" w:rsidRPr="00000000">
        <w:rPr>
          <w:rFonts w:ascii="Times New Roman" w:cs="Times New Roman" w:eastAsia="Times New Roman" w:hAnsi="Times New Roman"/>
          <w:sz w:val="24"/>
          <w:szCs w:val="24"/>
          <w:rtl w:val="0"/>
        </w:rPr>
        <w:t xml:space="preserve">, AUD, and drug use prevalence. State random effects are visualized in Figure </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and available in Table A</w:t>
      </w:r>
      <w:r w:rsidDel="00000000" w:rsidR="00000000" w:rsidRPr="00000000">
        <w:rPr>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pStyle w:val="Heading2"/>
        <w:rPr/>
      </w:pPr>
      <w:bookmarkStart w:colFirst="0" w:colLast="0" w:name="_euo1wf32pzk2" w:id="35"/>
      <w:bookmarkEnd w:id="35"/>
      <w:r w:rsidDel="00000000" w:rsidR="00000000" w:rsidRPr="00000000">
        <w:rPr>
          <w:rtl w:val="0"/>
        </w:rPr>
        <w:t xml:space="preserve">Implications for Treatment Quality</w:t>
      </w:r>
      <w:r w:rsidDel="00000000" w:rsidR="00000000" w:rsidRPr="00000000">
        <w:rPr>
          <w:rtl w:val="0"/>
        </w:rPr>
      </w:r>
    </w:p>
    <w:p w:rsidR="00000000" w:rsidDel="00000000" w:rsidP="00000000" w:rsidRDefault="00000000" w:rsidRPr="00000000" w14:paraId="0000006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high cost of SUD treatment (SAMHSA, 2009; Peterson, 2021; NCDAS, 2023), increasing urgency of SUD treatment in the wake of high overdose rates, and for-profit healthcare’s proven ability to respond to demand quickly, it makes sense that the U.S. for-profit SUD treatment industry is booming. This intuition is confirmed by the descriptive analyses in this report. However, it is important to understand the implications of such a change, including treatment access and quality. There is a wealth of literature about the distinct behaviors of for-profit and non-profit healthcare providers, and a substantial subset investigating SUD-specific behaviors. Just a few of these studies have revealed that for-profit treatment centers more frequently shorten treatment duration for patients who cannot pay (Nahra, 2009), managed care has different effects on for-profit, non-profit, and public treatment centers (Olmstead, 2005), and for-profit opioid treatment programs less frequently provide comprehensive services such as communicable disease testing and psychiatric services (Bachhuber, 2014). These profit status differences will remain important as the U.S. SUD treatment market evolves, and especially if for-profit treatment center counts continue to rise.</w:t>
      </w:r>
    </w:p>
    <w:p w:rsidR="00000000" w:rsidDel="00000000" w:rsidP="00000000" w:rsidRDefault="00000000" w:rsidRPr="00000000" w14:paraId="00000064">
      <w:pPr>
        <w:pStyle w:val="Heading2"/>
        <w:rPr/>
      </w:pPr>
      <w:bookmarkStart w:colFirst="0" w:colLast="0" w:name="_4ark2tvbngv8" w:id="36"/>
      <w:bookmarkEnd w:id="36"/>
      <w:r w:rsidDel="00000000" w:rsidR="00000000" w:rsidRPr="00000000">
        <w:rPr>
          <w:rtl w:val="0"/>
        </w:rPr>
        <w:t xml:space="preserve">Limitations</w:t>
      </w:r>
    </w:p>
    <w:p w:rsidR="00000000" w:rsidDel="00000000" w:rsidP="00000000" w:rsidRDefault="00000000" w:rsidRPr="00000000" w14:paraId="000000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limitations to this study, despite its informative insights. First, aggregating to the state level is required by the granularity of the NSSATS dataset but may mask important trends at city/county levels. Patients may occasionally cross state boundaries for treatment, limiting the power of drug use in the state to predict treatment demand in the state. Independence assumptions required for statistical modeling may also not fully hold at the state-level, because neighboring states may experience similar changes in drug use and potency, cultural expectations and stigma around substance use, and economic shifts.</w:t>
      </w:r>
    </w:p>
    <w:p w:rsidR="00000000" w:rsidDel="00000000" w:rsidP="00000000" w:rsidRDefault="00000000" w:rsidRPr="00000000" w14:paraId="000000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NSDUH data also </w:t>
      </w:r>
      <w:r w:rsidDel="00000000" w:rsidR="00000000" w:rsidRPr="00000000">
        <w:rPr>
          <w:rtl w:val="0"/>
        </w:rPr>
        <w:t xml:space="preserve">limits</w:t>
      </w:r>
      <w:r w:rsidDel="00000000" w:rsidR="00000000" w:rsidRPr="00000000">
        <w:rPr>
          <w:rFonts w:ascii="Times New Roman" w:cs="Times New Roman" w:eastAsia="Times New Roman" w:hAnsi="Times New Roman"/>
          <w:sz w:val="24"/>
          <w:szCs w:val="24"/>
          <w:rtl w:val="0"/>
        </w:rPr>
        <w:t xml:space="preserve"> the time span to pre-2020, </w:t>
      </w:r>
      <w:r w:rsidDel="00000000" w:rsidR="00000000" w:rsidRPr="00000000">
        <w:rPr>
          <w:rtl w:val="0"/>
        </w:rPr>
        <w:t xml:space="preserve">restricts</w:t>
      </w:r>
      <w:r w:rsidDel="00000000" w:rsidR="00000000" w:rsidRPr="00000000">
        <w:rPr>
          <w:rFonts w:ascii="Times New Roman" w:cs="Times New Roman" w:eastAsia="Times New Roman" w:hAnsi="Times New Roman"/>
          <w:sz w:val="24"/>
          <w:szCs w:val="24"/>
          <w:rtl w:val="0"/>
        </w:rPr>
        <w:t xml:space="preserve"> the substances used to those that did not change in 2014, and does not allow a granular look at each year’s substance use reported rates due to 2-year aggregation. NSDUH is a highly trusted survey to gauge drug use in the U.S., but the self-report nature of a stigmatized subject may cause underreporting. Additionally, considering drug use as a measure of market demand for treatment may be imprecise because </w:t>
      </w:r>
      <w:r w:rsidDel="00000000" w:rsidR="00000000" w:rsidRPr="00000000">
        <w:rPr>
          <w:rtl w:val="0"/>
        </w:rPr>
        <w:t xml:space="preserve">not all PWUD seek</w:t>
      </w:r>
      <w:r w:rsidDel="00000000" w:rsidR="00000000" w:rsidRPr="00000000">
        <w:rPr>
          <w:rFonts w:ascii="Times New Roman" w:cs="Times New Roman" w:eastAsia="Times New Roman" w:hAnsi="Times New Roman"/>
          <w:sz w:val="24"/>
          <w:szCs w:val="24"/>
          <w:rtl w:val="0"/>
        </w:rPr>
        <w:t xml:space="preserve"> treatment.</w:t>
      </w:r>
    </w:p>
    <w:p w:rsidR="00000000" w:rsidDel="00000000" w:rsidP="00000000" w:rsidRDefault="00000000" w:rsidRPr="00000000" w14:paraId="000000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these models are not predictive into the future because there is likely a “ceiling” on the amount of treatment centers in each state, so changes in drug use rates are unlikely to predict count of treatment centers as the number of treatment centers approaches that limit. Ever-evolving federal and state policy further complicate future trajectories of substance use treatment center counts, as do the b</w:t>
      </w:r>
      <w:r w:rsidDel="00000000" w:rsidR="00000000" w:rsidRPr="00000000">
        <w:rPr>
          <w:rtl w:val="0"/>
        </w:rPr>
        <w:t xml:space="preserve">idirectional relationship between drug use and treatment centers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Style w:val="Heading2"/>
        <w:rPr/>
      </w:pPr>
      <w:bookmarkStart w:colFirst="0" w:colLast="0" w:name="_wb3lhog6qdvd" w:id="37"/>
      <w:bookmarkEnd w:id="37"/>
      <w:r w:rsidDel="00000000" w:rsidR="00000000" w:rsidRPr="00000000">
        <w:rPr>
          <w:rtl w:val="0"/>
        </w:rPr>
        <w:t xml:space="preserve">Future Work</w:t>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consider the number of beds as a more detailed measure of supply </w:t>
      </w:r>
      <w:r w:rsidDel="00000000" w:rsidR="00000000" w:rsidRPr="00000000">
        <w:rPr>
          <w:rtl w:val="0"/>
        </w:rPr>
        <w:t xml:space="preserve">than</w:t>
      </w:r>
      <w:r w:rsidDel="00000000" w:rsidR="00000000" w:rsidRPr="00000000">
        <w:rPr>
          <w:rFonts w:ascii="Times New Roman" w:cs="Times New Roman" w:eastAsia="Times New Roman" w:hAnsi="Times New Roman"/>
          <w:sz w:val="24"/>
          <w:szCs w:val="24"/>
          <w:rtl w:val="0"/>
        </w:rPr>
        <w:t xml:space="preserve"> the number of treatment centers</w:t>
      </w:r>
      <w:r w:rsidDel="00000000" w:rsidR="00000000" w:rsidRPr="00000000">
        <w:rPr>
          <w:rtl w:val="0"/>
        </w:rPr>
        <w:t xml:space="preserve">. Future work could also</w:t>
      </w:r>
      <w:r w:rsidDel="00000000" w:rsidR="00000000" w:rsidRPr="00000000">
        <w:rPr>
          <w:rFonts w:ascii="Times New Roman" w:cs="Times New Roman" w:eastAsia="Times New Roman" w:hAnsi="Times New Roman"/>
          <w:sz w:val="24"/>
          <w:szCs w:val="24"/>
          <w:rtl w:val="0"/>
        </w:rPr>
        <w:t xml:space="preserve"> measure the quality of treatment centers through services offered and meeting standards of care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illuminate whether increased treatment centers meet need with quality care. In addition, the relationship between substance use prevalence and treatment center counts may have changed after the COVID pandemic with changing healthcare practices as well as substance use trends, so this analysis could be continued by contrasting the relationships before and after the COVID pandemic. Finally, a deeper understanding of the relationships between for-profit, non-profit, and government treatment centers in a region and how they may “crowd out” each other (Cohen, 2007) would benefit the broader discussion of how treatment centers </w:t>
      </w:r>
      <w:r w:rsidDel="00000000" w:rsidR="00000000" w:rsidRPr="00000000">
        <w:rPr>
          <w:rFonts w:ascii="Times New Roman" w:cs="Times New Roman" w:eastAsia="Times New Roman" w:hAnsi="Times New Roman"/>
          <w:sz w:val="24"/>
          <w:szCs w:val="24"/>
          <w:rtl w:val="0"/>
        </w:rPr>
        <w:t xml:space="preserve">respond </w:t>
      </w:r>
      <w:r w:rsidDel="00000000" w:rsidR="00000000" w:rsidRPr="00000000">
        <w:rPr>
          <w:rFonts w:ascii="Times New Roman" w:cs="Times New Roman" w:eastAsia="Times New Roman" w:hAnsi="Times New Roman"/>
          <w:sz w:val="24"/>
          <w:szCs w:val="24"/>
          <w:rtl w:val="0"/>
        </w:rPr>
        <w:t xml:space="preserve">to market demand.</w:t>
      </w: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xwgah95n3y0g" w:id="38"/>
      <w:bookmarkEnd w:id="38"/>
      <w:r w:rsidDel="00000000" w:rsidR="00000000" w:rsidRPr="00000000">
        <w:rPr>
          <w:rtl w:val="0"/>
        </w:rPr>
        <w:t xml:space="preserve">Conclusion</w:t>
      </w:r>
    </w:p>
    <w:p w:rsidR="00000000" w:rsidDel="00000000" w:rsidP="00000000" w:rsidRDefault="00000000" w:rsidRPr="00000000" w14:paraId="0000006B">
      <w:pPr>
        <w:ind w:firstLine="720"/>
        <w:rPr/>
      </w:pPr>
      <w:r w:rsidDel="00000000" w:rsidR="00000000" w:rsidRPr="00000000">
        <w:rPr>
          <w:rtl w:val="0"/>
        </w:rPr>
        <w:t xml:space="preserve">These findings are consistent with news headlines suggesting a rising number of for-profit treatment centers. The analysis reveals a positive association between drug use prevalence and number of for-profit treatment centers, and a negative association between alcohol use disorder prevalence and number of for-profit treatment centers in each state-year, after </w:t>
      </w:r>
      <w:r w:rsidDel="00000000" w:rsidR="00000000" w:rsidRPr="00000000">
        <w:rPr>
          <w:rtl w:val="0"/>
        </w:rPr>
        <w:t xml:space="preserve">controlling for </w:t>
      </w:r>
      <w:r w:rsidDel="00000000" w:rsidR="00000000" w:rsidRPr="00000000">
        <w:rPr>
          <w:rtl w:val="0"/>
        </w:rPr>
        <w:t xml:space="preserve">economic and demographic variables. Consistent with economic theory, this indicates that for-profit treatment centers may be capitalizing on a perceived demand in the SUD treatment market, which non-profit and government treatment centers cannot respond to as rapidly. These findings also raise questions about why the AUD relationship is negative. Importantly, these findings do not indicate causation; more analysis is needed to reveal details about the relationship between drug use and SUD treatment centers, as well as identify other confounders. Nonetheless, there is evidence that profit status matters in the relationship between SUD prevalence and number of treatment centers, and that the 50 United States and D.C. vary widely in their SUD market trends.</w:t>
      </w: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uv5qdqakvt3t" w:id="39"/>
      <w:bookmarkEnd w:id="39"/>
      <w:r w:rsidDel="00000000" w:rsidR="00000000" w:rsidRPr="00000000">
        <w:rPr>
          <w:rtl w:val="0"/>
        </w:rPr>
        <w:t xml:space="preserve">Figures and Tables</w:t>
      </w:r>
    </w:p>
    <w:tbl>
      <w:tblPr>
        <w:tblStyle w:val="Table1"/>
        <w:tblW w:w="10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1305"/>
        <w:gridCol w:w="1305"/>
        <w:gridCol w:w="1305"/>
        <w:gridCol w:w="1305"/>
        <w:gridCol w:w="1500"/>
        <w:tblGridChange w:id="0">
          <w:tblGrid>
            <w:gridCol w:w="4065"/>
            <w:gridCol w:w="1305"/>
            <w:gridCol w:w="1305"/>
            <w:gridCol w:w="1305"/>
            <w:gridCol w:w="1305"/>
            <w:gridCol w:w="1500"/>
          </w:tblGrid>
        </w:tblGridChange>
      </w:tblGrid>
      <w:tr>
        <w:trPr>
          <w:cantSplit w:val="0"/>
          <w:trHeight w:val="125.9765625" w:hRule="atLeast"/>
          <w:tblHeader w:val="0"/>
        </w:trPr>
        <w:tc>
          <w:tcPr>
            <w:gridSpan w:val="5"/>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240" w:lineRule="auto"/>
              <w:jc w:val="center"/>
              <w:rPr>
                <w:b w:val="1"/>
              </w:rPr>
            </w:pPr>
            <w:r w:rsidDel="00000000" w:rsidR="00000000" w:rsidRPr="00000000">
              <w:rPr>
                <w:rtl w:val="0"/>
              </w:rPr>
              <w:t xml:space="preserve"> Table 1 - Summary statistics of all variables </w:t>
            </w:r>
            <w:r w:rsidDel="00000000" w:rsidR="00000000" w:rsidRPr="00000000">
              <w:rPr>
                <w:rtl w:val="0"/>
              </w:rPr>
            </w:r>
          </w:p>
        </w:tc>
      </w:tr>
      <w:tr>
        <w:trPr>
          <w:cantSplit w:val="0"/>
          <w:trHeight w:val="540"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Variable (n=255)</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Mean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SD</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Minimum</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Maximum</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rPr/>
            </w:pPr>
            <w:r w:rsidDel="00000000" w:rsidR="00000000" w:rsidRPr="00000000">
              <w:rPr>
                <w:rtl w:val="0"/>
              </w:rPr>
              <w:t xml:space="preserve">For profit treatment centers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rPr/>
            </w:pPr>
            <w:r w:rsidDel="00000000" w:rsidR="00000000" w:rsidRPr="00000000">
              <w:rPr>
                <w:rtl w:val="0"/>
              </w:rPr>
              <w:t xml:space="preserve">103.85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rPr/>
            </w:pPr>
            <w:r w:rsidDel="00000000" w:rsidR="00000000" w:rsidRPr="00000000">
              <w:rPr>
                <w:rtl w:val="0"/>
              </w:rPr>
              <w:t xml:space="preserve">106.37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rPr/>
            </w:pPr>
            <w:r w:rsidDel="00000000" w:rsidR="00000000" w:rsidRPr="00000000">
              <w:rPr>
                <w:rtl w:val="0"/>
              </w:rPr>
              <w:t xml:space="preserve">780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rPr/>
            </w:pPr>
            <w:r w:rsidDel="00000000" w:rsidR="00000000" w:rsidRPr="00000000">
              <w:rPr>
                <w:rtl w:val="0"/>
              </w:rPr>
              <w:t xml:space="preserve">Government treatment centers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rPr/>
            </w:pPr>
            <w:r w:rsidDel="00000000" w:rsidR="00000000" w:rsidRPr="00000000">
              <w:rPr>
                <w:rtl w:val="0"/>
              </w:rPr>
              <w:t xml:space="preserve">30.68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rPr/>
            </w:pPr>
            <w:r w:rsidDel="00000000" w:rsidR="00000000" w:rsidRPr="00000000">
              <w:rPr>
                <w:rtl w:val="0"/>
              </w:rPr>
              <w:t xml:space="preserve">32.87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rPr/>
            </w:pPr>
            <w:r w:rsidDel="00000000" w:rsidR="00000000" w:rsidRPr="00000000">
              <w:rPr>
                <w:rtl w:val="0"/>
              </w:rPr>
              <w:t xml:space="preserve">209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4">
            <w:pPr>
              <w:rPr/>
            </w:pPr>
            <w:r w:rsidDel="00000000" w:rsidR="00000000" w:rsidRPr="00000000">
              <w:rPr>
                <w:rtl w:val="0"/>
              </w:rPr>
              <w:t xml:space="preserve">Non profit treatment centers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rPr/>
            </w:pPr>
            <w:r w:rsidDel="00000000" w:rsidR="00000000" w:rsidRPr="00000000">
              <w:rPr>
                <w:rtl w:val="0"/>
              </w:rPr>
              <w:t xml:space="preserve">147.78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6">
            <w:pPr>
              <w:rPr/>
            </w:pPr>
            <w:r w:rsidDel="00000000" w:rsidR="00000000" w:rsidRPr="00000000">
              <w:rPr>
                <w:rtl w:val="0"/>
              </w:rPr>
              <w:t xml:space="preserve">144.83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rPr/>
            </w:pPr>
            <w:r w:rsidDel="00000000" w:rsidR="00000000" w:rsidRPr="00000000">
              <w:rPr>
                <w:rtl w:val="0"/>
              </w:rPr>
              <w:t xml:space="preserve">822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rPr/>
            </w:pPr>
            <w:r w:rsidDel="00000000" w:rsidR="00000000" w:rsidRPr="00000000">
              <w:rPr>
                <w:rtl w:val="0"/>
              </w:rPr>
              <w:t xml:space="preserve">Total treatment centers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rPr/>
            </w:pPr>
            <w:r w:rsidDel="00000000" w:rsidR="00000000" w:rsidRPr="00000000">
              <w:rPr>
                <w:rtl w:val="0"/>
              </w:rPr>
              <w:t xml:space="preserve">282.31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rPr/>
            </w:pPr>
            <w:r w:rsidDel="00000000" w:rsidR="00000000" w:rsidRPr="00000000">
              <w:rPr>
                <w:rtl w:val="0"/>
              </w:rPr>
              <w:t xml:space="preserve">256.87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C">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rPr/>
            </w:pPr>
            <w:r w:rsidDel="00000000" w:rsidR="00000000" w:rsidRPr="00000000">
              <w:rPr>
                <w:rtl w:val="0"/>
              </w:rPr>
              <w:t xml:space="preserve">1797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E">
            <w:pPr>
              <w:rPr/>
            </w:pPr>
            <w:r w:rsidDel="00000000" w:rsidR="00000000" w:rsidRPr="00000000">
              <w:rPr>
                <w:rtl w:val="0"/>
              </w:rPr>
              <w:t xml:space="preserve">Lagged Drug Use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F">
            <w:pPr>
              <w:rPr/>
            </w:pPr>
            <w:r w:rsidDel="00000000" w:rsidR="00000000" w:rsidRPr="00000000">
              <w:rPr>
                <w:rtl w:val="0"/>
              </w:rPr>
              <w:t xml:space="preserve">1.18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0">
            <w:pPr>
              <w:rPr/>
            </w:pPr>
            <w:r w:rsidDel="00000000" w:rsidR="00000000" w:rsidRPr="00000000">
              <w:rPr>
                <w:rtl w:val="0"/>
              </w:rPr>
              <w:t xml:space="preserve">0.36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1">
            <w:pP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rPr/>
            </w:pPr>
            <w:r w:rsidDel="00000000" w:rsidR="00000000" w:rsidRPr="00000000">
              <w:rPr>
                <w:rtl w:val="0"/>
              </w:rPr>
              <w:t xml:space="preserve">2.59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3">
            <w:pPr>
              <w:rPr/>
            </w:pPr>
            <w:r w:rsidDel="00000000" w:rsidR="00000000" w:rsidRPr="00000000">
              <w:rPr>
                <w:rtl w:val="0"/>
              </w:rPr>
              <w:t xml:space="preserve">Lagged AUD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4">
            <w:pPr>
              <w:rPr/>
            </w:pPr>
            <w:r w:rsidDel="00000000" w:rsidR="00000000" w:rsidRPr="00000000">
              <w:rPr>
                <w:rtl w:val="0"/>
              </w:rPr>
              <w:t xml:space="preserve">6.45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6">
            <w:pPr>
              <w:rPr/>
            </w:pPr>
            <w:r w:rsidDel="00000000" w:rsidR="00000000" w:rsidRPr="00000000">
              <w:rPr>
                <w:rtl w:val="0"/>
              </w:rPr>
              <w:t xml:space="preserve">4.42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7">
            <w:pPr>
              <w:rPr/>
            </w:pPr>
            <w:r w:rsidDel="00000000" w:rsidR="00000000" w:rsidRPr="00000000">
              <w:rPr>
                <w:rtl w:val="0"/>
              </w:rPr>
              <w:t xml:space="preserve">10.57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8">
            <w:pPr>
              <w:rPr/>
            </w:pPr>
            <w:r w:rsidDel="00000000" w:rsidR="00000000" w:rsidRPr="00000000">
              <w:rPr>
                <w:rtl w:val="0"/>
              </w:rPr>
              <w:t xml:space="preserve">Lagged Marijuana Use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rPr/>
            </w:pPr>
            <w:r w:rsidDel="00000000" w:rsidR="00000000" w:rsidRPr="00000000">
              <w:rPr>
                <w:rtl w:val="0"/>
              </w:rPr>
              <w:t xml:space="preserve">9.43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A">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B">
            <w:pPr>
              <w:rPr/>
            </w:pPr>
            <w:r w:rsidDel="00000000" w:rsidR="00000000" w:rsidRPr="00000000">
              <w:rPr>
                <w:rtl w:val="0"/>
              </w:rPr>
              <w:t xml:space="preserve">4.72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C">
            <w:pPr>
              <w:rPr/>
            </w:pPr>
            <w:r w:rsidDel="00000000" w:rsidR="00000000" w:rsidRPr="00000000">
              <w:rPr>
                <w:rtl w:val="0"/>
              </w:rPr>
              <w:t xml:space="preserve">20.04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D">
            <w:pPr>
              <w:rPr/>
            </w:pPr>
            <w:r w:rsidDel="00000000" w:rsidR="00000000" w:rsidRPr="00000000">
              <w:rPr>
                <w:rtl w:val="0"/>
              </w:rPr>
              <w:t xml:space="preserve">Population (millions)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E">
            <w:pPr>
              <w:rPr/>
            </w:pPr>
            <w:r w:rsidDel="00000000" w:rsidR="00000000" w:rsidRPr="00000000">
              <w:rPr>
                <w:rtl w:val="0"/>
              </w:rPr>
              <w:t xml:space="preserve">6.37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F">
            <w:pPr>
              <w:rPr/>
            </w:pPr>
            <w:r w:rsidDel="00000000" w:rsidR="00000000" w:rsidRPr="00000000">
              <w:rPr>
                <w:rtl w:val="0"/>
              </w:rPr>
              <w:t xml:space="preserve">7.22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0">
            <w:pP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1">
            <w:pPr>
              <w:rPr/>
            </w:pPr>
            <w:r w:rsidDel="00000000" w:rsidR="00000000" w:rsidRPr="00000000">
              <w:rPr>
                <w:rtl w:val="0"/>
              </w:rPr>
              <w:t xml:space="preserve">39.44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2">
            <w:pPr>
              <w:rPr/>
            </w:pPr>
            <w:r w:rsidDel="00000000" w:rsidR="00000000" w:rsidRPr="00000000">
              <w:rPr>
                <w:rtl w:val="0"/>
              </w:rPr>
              <w:t xml:space="preserve">Percapita Health Spending (thousands)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3">
            <w:pPr>
              <w:rPr/>
            </w:pPr>
            <w:r w:rsidDel="00000000" w:rsidR="00000000" w:rsidRPr="00000000">
              <w:rPr>
                <w:rtl w:val="0"/>
              </w:rPr>
              <w:t xml:space="preserve">9.25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rPr/>
            </w:pPr>
            <w:r w:rsidDel="00000000" w:rsidR="00000000" w:rsidRPr="00000000">
              <w:rPr>
                <w:rtl w:val="0"/>
              </w:rPr>
              <w:t xml:space="preserve">1.49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5">
            <w:pPr>
              <w:rPr/>
            </w:pPr>
            <w:r w:rsidDel="00000000" w:rsidR="00000000" w:rsidRPr="00000000">
              <w:rPr>
                <w:rtl w:val="0"/>
              </w:rPr>
              <w:t xml:space="preserve">6.11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rPr/>
            </w:pPr>
            <w:r w:rsidDel="00000000" w:rsidR="00000000" w:rsidRPr="00000000">
              <w:rPr>
                <w:rtl w:val="0"/>
              </w:rPr>
              <w:t xml:space="preserve">13.93</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rPr/>
            </w:pPr>
            <w:r w:rsidDel="00000000" w:rsidR="00000000" w:rsidRPr="00000000">
              <w:rPr>
                <w:rtl w:val="0"/>
              </w:rPr>
              <w:t xml:space="preserve">Medicaid Enrollment Percapita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9">
            <w:pPr>
              <w:rPr/>
            </w:pPr>
            <w:r w:rsidDel="00000000" w:rsidR="00000000" w:rsidRPr="00000000">
              <w:rPr>
                <w:rtl w:val="0"/>
              </w:rPr>
              <w:t xml:space="preserve">0.07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A">
            <w:pPr>
              <w:rPr/>
            </w:pPr>
            <w:r w:rsidDel="00000000" w:rsidR="00000000" w:rsidRPr="00000000">
              <w:rPr>
                <w:rtl w:val="0"/>
              </w:rPr>
              <w:t xml:space="preserve">0.09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B">
            <w:pPr>
              <w:rPr/>
            </w:pPr>
            <w:r w:rsidDel="00000000" w:rsidR="00000000" w:rsidRPr="00000000">
              <w:rPr>
                <w:rtl w:val="0"/>
              </w:rPr>
              <w:t xml:space="preserve">0.45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rPr/>
            </w:pPr>
            <w:r w:rsidDel="00000000" w:rsidR="00000000" w:rsidRPr="00000000">
              <w:rPr>
                <w:rtl w:val="0"/>
              </w:rPr>
              <w:t xml:space="preserve">Male Gender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D">
            <w:pPr>
              <w:rPr/>
            </w:pPr>
            <w:r w:rsidDel="00000000" w:rsidR="00000000" w:rsidRPr="00000000">
              <w:rPr>
                <w:rtl w:val="0"/>
              </w:rPr>
              <w:t xml:space="preserve">48.87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E">
            <w:pP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F">
            <w:pPr>
              <w:rPr/>
            </w:pPr>
            <w:r w:rsidDel="00000000" w:rsidR="00000000" w:rsidRPr="00000000">
              <w:rPr>
                <w:rtl w:val="0"/>
              </w:rPr>
              <w:t xml:space="preserve">46.72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rPr/>
            </w:pPr>
            <w:r w:rsidDel="00000000" w:rsidR="00000000" w:rsidRPr="00000000">
              <w:rPr>
                <w:rtl w:val="0"/>
              </w:rPr>
              <w:t xml:space="preserve">52.62</w:t>
            </w:r>
          </w:p>
        </w:tc>
      </w:tr>
      <w:tr>
        <w:trPr>
          <w:cantSplit w:val="0"/>
          <w:trHeight w:val="626.9531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1">
            <w:pPr>
              <w:rPr/>
            </w:pPr>
            <w:r w:rsidDel="00000000" w:rsidR="00000000" w:rsidRPr="00000000">
              <w:rPr>
                <w:rtl w:val="0"/>
              </w:rPr>
              <w:t xml:space="preserve">Hispanic or Latino Ethnicity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rPr/>
            </w:pPr>
            <w:r w:rsidDel="00000000" w:rsidR="00000000" w:rsidRPr="00000000">
              <w:rPr>
                <w:rtl w:val="0"/>
              </w:rPr>
              <w:t xml:space="preserve">9.81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3">
            <w:pPr>
              <w:rPr/>
            </w:pPr>
            <w:r w:rsidDel="00000000" w:rsidR="00000000" w:rsidRPr="00000000">
              <w:rPr>
                <w:rtl w:val="0"/>
              </w:rPr>
              <w:t xml:space="preserve">9.18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4">
            <w:pPr>
              <w:rPr/>
            </w:pPr>
            <w:r w:rsidDel="00000000" w:rsidR="00000000" w:rsidRPr="00000000">
              <w:rPr>
                <w:rtl w:val="0"/>
              </w:rPr>
              <w:t xml:space="preserve">1.16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rPr/>
            </w:pPr>
            <w:r w:rsidDel="00000000" w:rsidR="00000000" w:rsidRPr="00000000">
              <w:rPr>
                <w:rtl w:val="0"/>
              </w:rPr>
              <w:t xml:space="preserve">45.92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6">
            <w:pPr>
              <w:rPr/>
            </w:pPr>
            <w:r w:rsidDel="00000000" w:rsidR="00000000" w:rsidRPr="00000000">
              <w:rPr>
                <w:rtl w:val="0"/>
              </w:rPr>
              <w:t xml:space="preserve">White Race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7">
            <w:pPr>
              <w:rPr/>
            </w:pPr>
            <w:r w:rsidDel="00000000" w:rsidR="00000000" w:rsidRPr="00000000">
              <w:rPr>
                <w:rtl w:val="0"/>
              </w:rPr>
              <w:t xml:space="preserve">80.59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8">
            <w:pPr>
              <w:rPr/>
            </w:pPr>
            <w:r w:rsidDel="00000000" w:rsidR="00000000" w:rsidRPr="00000000">
              <w:rPr>
                <w:rtl w:val="0"/>
              </w:rPr>
              <w:t xml:space="preserve">12.81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9">
            <w:pPr>
              <w:rPr/>
            </w:pPr>
            <w:r w:rsidDel="00000000" w:rsidR="00000000" w:rsidRPr="00000000">
              <w:rPr>
                <w:rtl w:val="0"/>
              </w:rPr>
              <w:t xml:space="preserve">27.47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A">
            <w:pPr>
              <w:rPr/>
            </w:pPr>
            <w:r w:rsidDel="00000000" w:rsidR="00000000" w:rsidRPr="00000000">
              <w:rPr>
                <w:rtl w:val="0"/>
              </w:rPr>
              <w:t xml:space="preserve">96.12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B">
            <w:pPr>
              <w:rPr/>
            </w:pPr>
            <w:r w:rsidDel="00000000" w:rsidR="00000000" w:rsidRPr="00000000">
              <w:rPr>
                <w:rtl w:val="0"/>
              </w:rPr>
              <w:t xml:space="preserve">Uninsured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C">
            <w:pPr>
              <w:rPr/>
            </w:pPr>
            <w:r w:rsidDel="00000000" w:rsidR="00000000" w:rsidRPr="00000000">
              <w:rPr>
                <w:rtl w:val="0"/>
              </w:rPr>
              <w:t xml:space="preserve">8.23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D">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E">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F">
            <w:pPr>
              <w:rPr/>
            </w:pPr>
            <w:r w:rsidDel="00000000" w:rsidR="00000000" w:rsidRPr="00000000">
              <w:rPr>
                <w:rtl w:val="0"/>
              </w:rPr>
              <w:t xml:space="preserve">18.4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0">
            <w:pPr>
              <w:rPr/>
            </w:pPr>
            <w:r w:rsidDel="00000000" w:rsidR="00000000" w:rsidRPr="00000000">
              <w:rPr>
                <w:rtl w:val="0"/>
              </w:rPr>
              <w:t xml:space="preserve">Unemployment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1">
            <w:pPr>
              <w:rPr/>
            </w:pPr>
            <w:r w:rsidDel="00000000" w:rsidR="00000000" w:rsidRPr="00000000">
              <w:rPr>
                <w:rtl w:val="0"/>
              </w:rPr>
              <w:t xml:space="preserve">4.23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2">
            <w:pPr>
              <w:rPr/>
            </w:pPr>
            <w:r w:rsidDel="00000000" w:rsidR="00000000" w:rsidRPr="00000000">
              <w:rPr>
                <w:rtl w:val="0"/>
              </w:rPr>
              <w:t xml:space="preserve">1.08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3">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4">
            <w:pPr>
              <w:rPr/>
            </w:pPr>
            <w:r w:rsidDel="00000000" w:rsidR="00000000" w:rsidRPr="00000000">
              <w:rPr>
                <w:rtl w:val="0"/>
              </w:rPr>
              <w:t xml:space="preserve">6.9</w:t>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5">
            <w:pPr>
              <w:rPr/>
            </w:pPr>
            <w:r w:rsidDel="00000000" w:rsidR="00000000" w:rsidRPr="00000000">
              <w:rPr>
                <w:rtl w:val="0"/>
              </w:rPr>
              <w:t xml:space="preserve">Income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6">
            <w:pPr>
              <w:rPr/>
            </w:pPr>
            <w:r w:rsidDel="00000000" w:rsidR="00000000" w:rsidRPr="00000000">
              <w:rPr>
                <w:rtl w:val="0"/>
              </w:rPr>
              <w:t xml:space="preserve">$73,283.76</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7">
            <w:pPr>
              <w:rPr/>
            </w:pPr>
            <w:r w:rsidDel="00000000" w:rsidR="00000000" w:rsidRPr="00000000">
              <w:rPr>
                <w:rtl w:val="0"/>
              </w:rPr>
              <w:t xml:space="preserve">$12,217.96</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8">
            <w:pPr>
              <w:rPr/>
            </w:pPr>
            <w:r w:rsidDel="00000000" w:rsidR="00000000" w:rsidRPr="00000000">
              <w:rPr>
                <w:rtl w:val="0"/>
              </w:rPr>
              <w:t xml:space="preserve">$48,460</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rPr/>
            </w:pPr>
            <w:r w:rsidDel="00000000" w:rsidR="00000000" w:rsidRPr="00000000">
              <w:rPr>
                <w:rtl w:val="0"/>
              </w:rPr>
              <w:t xml:space="preserve">$108,900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A">
            <w:pPr>
              <w:ind w:left="4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B">
            <w:pPr>
              <w:ind w:left="4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C">
            <w:pPr>
              <w:ind w:left="4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D">
            <w:pPr>
              <w:ind w:left="46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E">
            <w:pPr>
              <w:ind w:left="460" w:firstLine="0"/>
              <w:rPr/>
            </w:pPr>
            <w:r w:rsidDel="00000000" w:rsidR="00000000" w:rsidRPr="00000000">
              <w:rPr>
                <w:rtl w:val="0"/>
              </w:rPr>
            </w:r>
          </w:p>
        </w:tc>
      </w:tr>
    </w:tbl>
    <w:p w:rsidR="00000000" w:rsidDel="00000000" w:rsidP="00000000" w:rsidRDefault="00000000" w:rsidRPr="00000000" w14:paraId="000000CF">
      <w:pPr>
        <w:jc w:val="center"/>
        <w:rPr/>
      </w:pPr>
      <w:r w:rsidDel="00000000" w:rsidR="00000000" w:rsidRPr="00000000">
        <w:rPr/>
        <w:drawing>
          <wp:inline distB="114300" distT="114300" distL="114300" distR="114300">
            <wp:extent cx="5943600" cy="39624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Figure 1 – Share of Treatment Centers and Average Prevalence of Substance Use Over Time</w:t>
      </w:r>
      <w:r w:rsidDel="00000000" w:rsidR="00000000" w:rsidRPr="00000000">
        <w:rPr>
          <w:rtl w:val="0"/>
        </w:rPr>
      </w:r>
    </w:p>
    <w:tbl>
      <w:tblPr>
        <w:tblStyle w:val="Table2"/>
        <w:tblW w:w="1108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275"/>
        <w:gridCol w:w="1095"/>
        <w:gridCol w:w="1305"/>
        <w:gridCol w:w="945"/>
        <w:gridCol w:w="1350"/>
        <w:gridCol w:w="885"/>
        <w:gridCol w:w="1275"/>
        <w:gridCol w:w="1125"/>
        <w:tblGridChange w:id="0">
          <w:tblGrid>
            <w:gridCol w:w="1830"/>
            <w:gridCol w:w="1275"/>
            <w:gridCol w:w="1095"/>
            <w:gridCol w:w="1305"/>
            <w:gridCol w:w="945"/>
            <w:gridCol w:w="1350"/>
            <w:gridCol w:w="885"/>
            <w:gridCol w:w="1275"/>
            <w:gridCol w:w="1125"/>
          </w:tblGrid>
        </w:tblGridChange>
      </w:tblGrid>
      <w:tr>
        <w:trPr>
          <w:cantSplit w:val="0"/>
          <w:trHeight w:val="521.95312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spacing w:after="0" w:lineRule="auto"/>
              <w:ind w:left="100" w:firstLine="0"/>
              <w:rPr>
                <w:b w:val="1"/>
              </w:rPr>
            </w:pPr>
            <w:r w:rsidDel="00000000" w:rsidR="00000000" w:rsidRPr="00000000">
              <w:rPr>
                <w:b w:val="1"/>
                <w:rtl w:val="0"/>
              </w:rPr>
              <w:t xml:space="preserve"> Table 2</w:t>
            </w:r>
          </w:p>
        </w:tc>
        <w:tc>
          <w:tcPr>
            <w:gridSpan w:val="2"/>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2">
            <w:pPr>
              <w:spacing w:after="0" w:lineRule="auto"/>
              <w:ind w:left="100" w:firstLine="0"/>
              <w:jc w:val="center"/>
              <w:rPr>
                <w:b w:val="1"/>
              </w:rPr>
            </w:pPr>
            <w:r w:rsidDel="00000000" w:rsidR="00000000" w:rsidRPr="00000000">
              <w:rPr>
                <w:b w:val="1"/>
                <w:rtl w:val="0"/>
              </w:rPr>
              <w:t xml:space="preserve">Total</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0" w:lineRule="auto"/>
              <w:ind w:left="100" w:firstLine="0"/>
              <w:jc w:val="center"/>
              <w:rPr>
                <w:b w:val="1"/>
              </w:rPr>
            </w:pPr>
            <w:r w:rsidDel="00000000" w:rsidR="00000000" w:rsidRPr="00000000">
              <w:rPr>
                <w:b w:val="1"/>
                <w:rtl w:val="0"/>
              </w:rPr>
              <w:t xml:space="preserve">Forprofit</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0" w:lineRule="auto"/>
              <w:ind w:left="100" w:firstLine="0"/>
              <w:jc w:val="center"/>
              <w:rPr>
                <w:b w:val="1"/>
              </w:rPr>
            </w:pPr>
            <w:r w:rsidDel="00000000" w:rsidR="00000000" w:rsidRPr="00000000">
              <w:rPr>
                <w:b w:val="1"/>
                <w:rtl w:val="0"/>
              </w:rPr>
              <w:t xml:space="preserve">Nonprofit</w:t>
            </w:r>
          </w:p>
        </w:tc>
        <w:tc>
          <w:tcPr>
            <w:gridSpan w:val="2"/>
            <w:tcBorders>
              <w:top w:color="000000" w:space="0" w:sz="6" w:val="single"/>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0" w:lineRule="auto"/>
              <w:ind w:left="100" w:firstLine="0"/>
              <w:jc w:val="center"/>
              <w:rPr>
                <w:b w:val="1"/>
              </w:rPr>
            </w:pPr>
            <w:r w:rsidDel="00000000" w:rsidR="00000000" w:rsidRPr="00000000">
              <w:rPr>
                <w:b w:val="1"/>
                <w:rtl w:val="0"/>
              </w:rPr>
              <w:t xml:space="preserve">Government</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0" w:lineRule="auto"/>
              <w:ind w:left="100" w:firstLine="0"/>
              <w:rPr>
                <w:i w:val="1"/>
              </w:rPr>
            </w:pPr>
            <w:r w:rsidDel="00000000" w:rsidR="00000000" w:rsidRPr="00000000">
              <w:rPr>
                <w:i w:val="1"/>
                <w:rtl w:val="0"/>
              </w:rPr>
              <w:t xml:space="preserve">Predictors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0" w:lineRule="auto"/>
              <w:ind w:left="100" w:firstLine="0"/>
              <w:jc w:val="center"/>
              <w:rPr>
                <w:i w:val="1"/>
              </w:rPr>
            </w:pPr>
            <w:r w:rsidDel="00000000" w:rsidR="00000000" w:rsidRPr="00000000">
              <w:rPr>
                <w:i w:val="1"/>
                <w:rtl w:val="0"/>
              </w:rPr>
              <w:t xml:space="preserve">Incidence Rate Ratios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0" w:lineRule="auto"/>
              <w:ind w:left="100" w:firstLine="0"/>
              <w:jc w:val="center"/>
              <w:rPr>
                <w:i w:val="1"/>
              </w:rPr>
            </w:pPr>
            <w:r w:rsidDel="00000000" w:rsidR="00000000" w:rsidRPr="00000000">
              <w:rPr>
                <w:i w:val="1"/>
                <w:rtl w:val="0"/>
              </w:rPr>
              <w:t xml:space="preserve">std. Error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0" w:lineRule="auto"/>
              <w:ind w:left="100" w:firstLine="0"/>
              <w:jc w:val="center"/>
              <w:rPr>
                <w:i w:val="1"/>
              </w:rPr>
            </w:pPr>
            <w:r w:rsidDel="00000000" w:rsidR="00000000" w:rsidRPr="00000000">
              <w:rPr>
                <w:i w:val="1"/>
                <w:rtl w:val="0"/>
              </w:rPr>
              <w:t xml:space="preserve">Incidence Rate Ratios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0" w:lineRule="auto"/>
              <w:ind w:left="100" w:firstLine="0"/>
              <w:jc w:val="center"/>
              <w:rPr>
                <w:i w:val="1"/>
              </w:rPr>
            </w:pPr>
            <w:r w:rsidDel="00000000" w:rsidR="00000000" w:rsidRPr="00000000">
              <w:rPr>
                <w:i w:val="1"/>
                <w:rtl w:val="0"/>
              </w:rPr>
              <w:t xml:space="preserve">std. Error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0" w:lineRule="auto"/>
              <w:ind w:left="100" w:firstLine="0"/>
              <w:jc w:val="center"/>
              <w:rPr>
                <w:i w:val="1"/>
              </w:rPr>
            </w:pPr>
            <w:r w:rsidDel="00000000" w:rsidR="00000000" w:rsidRPr="00000000">
              <w:rPr>
                <w:i w:val="1"/>
                <w:rtl w:val="0"/>
              </w:rPr>
              <w:t xml:space="preserve">Incidence Rate Ratios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0" w:lineRule="auto"/>
              <w:ind w:left="100" w:firstLine="0"/>
              <w:jc w:val="center"/>
              <w:rPr>
                <w:i w:val="1"/>
              </w:rPr>
            </w:pPr>
            <w:r w:rsidDel="00000000" w:rsidR="00000000" w:rsidRPr="00000000">
              <w:rPr>
                <w:i w:val="1"/>
                <w:rtl w:val="0"/>
              </w:rPr>
              <w:t xml:space="preserve">std. Error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0" w:lineRule="auto"/>
              <w:ind w:left="100" w:firstLine="0"/>
              <w:jc w:val="center"/>
              <w:rPr>
                <w:i w:val="1"/>
              </w:rPr>
            </w:pPr>
            <w:r w:rsidDel="00000000" w:rsidR="00000000" w:rsidRPr="00000000">
              <w:rPr>
                <w:i w:val="1"/>
                <w:rtl w:val="0"/>
              </w:rPr>
              <w:t xml:space="preserve">Incidence Rate Ratios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0" w:lineRule="auto"/>
              <w:ind w:left="100" w:firstLine="0"/>
              <w:jc w:val="center"/>
              <w:rPr>
                <w:i w:val="1"/>
              </w:rPr>
            </w:pPr>
            <w:r w:rsidDel="00000000" w:rsidR="00000000" w:rsidRPr="00000000">
              <w:rPr>
                <w:i w:val="1"/>
                <w:rtl w:val="0"/>
              </w:rPr>
              <w:t xml:space="preserve">std. Error</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0" w:lineRule="auto"/>
              <w:ind w:left="100" w:firstLine="0"/>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0" w:lineRule="auto"/>
              <w:ind w:left="100" w:firstLine="0"/>
              <w:jc w:val="center"/>
              <w:rPr>
                <w:vertAlign w:val="superscript"/>
              </w:rPr>
            </w:pPr>
            <w:r w:rsidDel="00000000" w:rsidR="00000000" w:rsidRPr="00000000">
              <w:rPr>
                <w:rtl w:val="0"/>
              </w:rPr>
              <w:t xml:space="preserve">205.72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0" w:lineRule="auto"/>
              <w:ind w:left="100" w:firstLine="0"/>
              <w:jc w:val="center"/>
              <w:rPr/>
            </w:pPr>
            <w:r w:rsidDel="00000000" w:rsidR="00000000" w:rsidRPr="00000000">
              <w:rPr>
                <w:rtl w:val="0"/>
              </w:rPr>
              <w:t xml:space="preserve">24.02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0" w:lineRule="auto"/>
              <w:ind w:left="100" w:firstLine="0"/>
              <w:jc w:val="center"/>
              <w:rPr>
                <w:vertAlign w:val="superscript"/>
              </w:rPr>
            </w:pPr>
            <w:r w:rsidDel="00000000" w:rsidR="00000000" w:rsidRPr="00000000">
              <w:rPr>
                <w:rtl w:val="0"/>
              </w:rPr>
              <w:t xml:space="preserve">70.11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0" w:lineRule="auto"/>
              <w:ind w:left="100" w:firstLine="0"/>
              <w:jc w:val="center"/>
              <w:rPr/>
            </w:pPr>
            <w:r w:rsidDel="00000000" w:rsidR="00000000" w:rsidRPr="00000000">
              <w:rPr>
                <w:rtl w:val="0"/>
              </w:rPr>
              <w:t xml:space="preserve">13.25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0" w:lineRule="auto"/>
              <w:ind w:left="100" w:firstLine="0"/>
              <w:jc w:val="center"/>
              <w:rPr>
                <w:vertAlign w:val="superscript"/>
              </w:rPr>
            </w:pPr>
            <w:r w:rsidDel="00000000" w:rsidR="00000000" w:rsidRPr="00000000">
              <w:rPr>
                <w:rtl w:val="0"/>
              </w:rPr>
              <w:t xml:space="preserve">94.23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0" w:lineRule="auto"/>
              <w:ind w:left="100" w:firstLine="0"/>
              <w:jc w:val="center"/>
              <w:rPr/>
            </w:pPr>
            <w:r w:rsidDel="00000000" w:rsidR="00000000" w:rsidRPr="00000000">
              <w:rPr>
                <w:rtl w:val="0"/>
              </w:rPr>
              <w:t xml:space="preserve">10.30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0" w:lineRule="auto"/>
              <w:ind w:left="100" w:firstLine="0"/>
              <w:jc w:val="center"/>
              <w:rPr>
                <w:vertAlign w:val="superscript"/>
              </w:rPr>
            </w:pPr>
            <w:r w:rsidDel="00000000" w:rsidR="00000000" w:rsidRPr="00000000">
              <w:rPr>
                <w:rtl w:val="0"/>
              </w:rPr>
              <w:t xml:space="preserve">16.90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0" w:lineRule="auto"/>
              <w:ind w:left="100" w:firstLine="0"/>
              <w:jc w:val="center"/>
              <w:rPr/>
            </w:pPr>
            <w:r w:rsidDel="00000000" w:rsidR="00000000" w:rsidRPr="00000000">
              <w:rPr>
                <w:rtl w:val="0"/>
              </w:rPr>
              <w:t xml:space="preserve">3.43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0" w:lineRule="auto"/>
              <w:ind w:left="100" w:firstLine="0"/>
              <w:rPr/>
            </w:pPr>
            <w:r w:rsidDel="00000000" w:rsidR="00000000" w:rsidRPr="00000000">
              <w:rPr>
                <w:rtl w:val="0"/>
              </w:rPr>
              <w:t xml:space="preserve">AUD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0" w:lineRule="auto"/>
              <w:ind w:left="100" w:firstLine="0"/>
              <w:jc w:val="center"/>
              <w:rPr/>
            </w:pPr>
            <w:r w:rsidDel="00000000" w:rsidR="00000000" w:rsidRPr="00000000">
              <w:rPr>
                <w:rtl w:val="0"/>
              </w:rPr>
              <w:t xml:space="preserve">0.98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0" w:lineRule="auto"/>
              <w:ind w:left="100" w:firstLine="0"/>
              <w:jc w:val="cente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0" w:lineRule="auto"/>
              <w:ind w:left="100" w:firstLine="0"/>
              <w:jc w:val="center"/>
              <w:rPr>
                <w:vertAlign w:val="superscript"/>
              </w:rPr>
            </w:pPr>
            <w:r w:rsidDel="00000000" w:rsidR="00000000" w:rsidRPr="00000000">
              <w:rPr>
                <w:rtl w:val="0"/>
              </w:rPr>
              <w:t xml:space="preserve">0.95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0" w:lineRule="auto"/>
              <w:ind w:left="100" w:firstLine="0"/>
              <w:jc w:val="center"/>
              <w:rPr/>
            </w:pPr>
            <w:r w:rsidDel="00000000" w:rsidR="00000000" w:rsidRPr="00000000">
              <w:rPr>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0" w:lineRule="auto"/>
              <w:ind w:left="100" w:firstLine="0"/>
              <w:jc w:val="cente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0" w:lineRule="auto"/>
              <w:ind w:left="100" w:firstLine="0"/>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0" w:lineRule="auto"/>
              <w:ind w:left="100" w:firstLine="0"/>
              <w:jc w:val="center"/>
              <w:rPr/>
            </w:pPr>
            <w:r w:rsidDel="00000000" w:rsidR="00000000" w:rsidRPr="00000000">
              <w:rPr>
                <w:rtl w:val="0"/>
              </w:rPr>
              <w:t xml:space="preserve">0.03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0" w:lineRule="auto"/>
              <w:ind w:left="100" w:firstLine="0"/>
              <w:rPr/>
            </w:pPr>
            <w:r w:rsidDel="00000000" w:rsidR="00000000" w:rsidRPr="00000000">
              <w:rPr>
                <w:rtl w:val="0"/>
              </w:rPr>
              <w:t xml:space="preserve">Drug Use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0" w:lineRule="auto"/>
              <w:ind w:left="100" w:firstLine="0"/>
              <w:jc w:val="center"/>
              <w:rPr/>
            </w:pPr>
            <w:r w:rsidDel="00000000" w:rsidR="00000000" w:rsidRPr="00000000">
              <w:rPr>
                <w:rtl w:val="0"/>
              </w:rPr>
              <w:t xml:space="preserve">1.08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0" w:lineRule="auto"/>
              <w:ind w:left="10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0" w:lineRule="auto"/>
              <w:ind w:left="100" w:firstLine="0"/>
              <w:jc w:val="center"/>
              <w:rPr>
                <w:vertAlign w:val="superscript"/>
              </w:rPr>
            </w:pPr>
            <w:r w:rsidDel="00000000" w:rsidR="00000000" w:rsidRPr="00000000">
              <w:rPr>
                <w:rtl w:val="0"/>
              </w:rPr>
              <w:t xml:space="preserve">1.20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0" w:lineRule="auto"/>
              <w:ind w:left="100" w:firstLine="0"/>
              <w:jc w:val="center"/>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0" w:lineRule="auto"/>
              <w:ind w:left="100" w:firstLine="0"/>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0" w:lineRule="auto"/>
              <w:ind w:left="10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0" w:lineRule="auto"/>
              <w:ind w:left="100" w:firstLine="0"/>
              <w:jc w:val="center"/>
              <w:rPr/>
            </w:pPr>
            <w:r w:rsidDel="00000000" w:rsidR="00000000" w:rsidRPr="00000000">
              <w:rPr>
                <w:rtl w:val="0"/>
              </w:rPr>
              <w:t xml:space="preserve">0.10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0" w:lineRule="auto"/>
              <w:ind w:left="100" w:firstLine="0"/>
              <w:rPr/>
            </w:pPr>
            <w:r w:rsidDel="00000000" w:rsidR="00000000" w:rsidRPr="00000000">
              <w:rPr>
                <w:rtl w:val="0"/>
              </w:rPr>
              <w:t xml:space="preserve">Marijuana Use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0" w:lineRule="auto"/>
              <w:ind w:left="100" w:firstLine="0"/>
              <w:jc w:val="cente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0" w:lineRule="auto"/>
              <w:ind w:left="100" w:firstLine="0"/>
              <w:jc w:val="cente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0" w:lineRule="auto"/>
              <w:ind w:left="100" w:firstLine="0"/>
              <w:jc w:val="center"/>
              <w:rPr/>
            </w:pPr>
            <w:r w:rsidDel="00000000" w:rsidR="00000000" w:rsidRPr="00000000">
              <w:rPr>
                <w:rtl w:val="0"/>
              </w:rPr>
              <w:t xml:space="preserve">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0" w:lineRule="auto"/>
              <w:ind w:left="100" w:firstLine="0"/>
              <w:jc w:val="center"/>
              <w:rPr/>
            </w:pPr>
            <w:r w:rsidDel="00000000" w:rsidR="00000000" w:rsidRPr="00000000">
              <w:rPr>
                <w:rtl w:val="0"/>
              </w:rPr>
              <w:t xml:space="preserve">0.02</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0" w:lineRule="auto"/>
              <w:ind w:left="100" w:firstLine="0"/>
              <w:rPr/>
            </w:pPr>
            <w:r w:rsidDel="00000000" w:rsidR="00000000" w:rsidRPr="00000000">
              <w:rPr>
                <w:rtl w:val="0"/>
              </w:rPr>
              <w:t xml:space="preserve">Population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0" w:lineRule="auto"/>
              <w:ind w:left="100" w:firstLine="0"/>
              <w:jc w:val="center"/>
              <w:rPr>
                <w:vertAlign w:val="superscript"/>
              </w:rPr>
            </w:pPr>
            <w:r w:rsidDel="00000000" w:rsidR="00000000" w:rsidRPr="00000000">
              <w:rPr>
                <w:rtl w:val="0"/>
              </w:rPr>
              <w:t xml:space="preserve">1.86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0" w:lineRule="auto"/>
              <w:ind w:left="100" w:firstLine="0"/>
              <w:jc w:val="center"/>
              <w:rPr/>
            </w:pPr>
            <w:r w:rsidDel="00000000" w:rsidR="00000000" w:rsidRPr="00000000">
              <w:rPr>
                <w:rtl w:val="0"/>
              </w:rPr>
              <w:t xml:space="preserve">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0" w:lineRule="auto"/>
              <w:ind w:left="100" w:firstLine="0"/>
              <w:jc w:val="center"/>
              <w:rPr>
                <w:vertAlign w:val="superscript"/>
              </w:rPr>
            </w:pPr>
            <w:r w:rsidDel="00000000" w:rsidR="00000000" w:rsidRPr="00000000">
              <w:rPr>
                <w:rtl w:val="0"/>
              </w:rPr>
              <w:t xml:space="preserve">2.07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0" w:lineRule="auto"/>
              <w:ind w:left="100" w:firstLine="0"/>
              <w:jc w:val="center"/>
              <w:rPr/>
            </w:pPr>
            <w:r w:rsidDel="00000000" w:rsidR="00000000" w:rsidRPr="00000000">
              <w:rPr>
                <w:rtl w:val="0"/>
              </w:rPr>
              <w:t xml:space="preserve">0.27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0" w:lineRule="auto"/>
              <w:ind w:left="100" w:firstLine="0"/>
              <w:jc w:val="center"/>
              <w:rPr>
                <w:vertAlign w:val="superscript"/>
              </w:rPr>
            </w:pPr>
            <w:r w:rsidDel="00000000" w:rsidR="00000000" w:rsidRPr="00000000">
              <w:rPr>
                <w:rtl w:val="0"/>
              </w:rPr>
              <w:t xml:space="preserve">1.66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0" w:lineRule="auto"/>
              <w:ind w:left="100" w:firstLine="0"/>
              <w:jc w:val="cente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0" w:lineRule="auto"/>
              <w:ind w:left="100" w:firstLine="0"/>
              <w:jc w:val="center"/>
              <w:rPr>
                <w:vertAlign w:val="superscript"/>
              </w:rPr>
            </w:pPr>
            <w:r w:rsidDel="00000000" w:rsidR="00000000" w:rsidRPr="00000000">
              <w:rPr>
                <w:rtl w:val="0"/>
              </w:rPr>
              <w:t xml:space="preserve">1.84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0" w:lineRule="auto"/>
              <w:ind w:left="100" w:firstLine="0"/>
              <w:jc w:val="center"/>
              <w:rPr/>
            </w:pPr>
            <w:r w:rsidDel="00000000" w:rsidR="00000000" w:rsidRPr="00000000">
              <w:rPr>
                <w:rtl w:val="0"/>
              </w:rPr>
              <w:t xml:space="preserve">0.22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0" w:lineRule="auto"/>
              <w:ind w:left="100" w:firstLine="0"/>
              <w:rPr/>
            </w:pPr>
            <w:r w:rsidDel="00000000" w:rsidR="00000000" w:rsidRPr="00000000">
              <w:rPr>
                <w:rtl w:val="0"/>
              </w:rPr>
              <w:t xml:space="preserve">Income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0" w:lineRule="auto"/>
              <w:ind w:left="100" w:firstLine="0"/>
              <w:jc w:val="cente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0" w:lineRule="auto"/>
              <w:ind w:left="100" w:firstLine="0"/>
              <w:jc w:val="center"/>
              <w:rPr/>
            </w:pPr>
            <w:r w:rsidDel="00000000" w:rsidR="00000000" w:rsidRPr="00000000">
              <w:rPr>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0" w:lineRule="auto"/>
              <w:ind w:left="100" w:firstLine="0"/>
              <w:jc w:val="cente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0" w:lineRule="auto"/>
              <w:ind w:left="100" w:firstLine="0"/>
              <w:jc w:val="center"/>
              <w:rPr/>
            </w:pPr>
            <w:r w:rsidDel="00000000" w:rsidR="00000000" w:rsidRPr="00000000">
              <w:rPr>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0" w:lineRule="auto"/>
              <w:ind w:left="100" w:firstLine="0"/>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0" w:lineRule="auto"/>
              <w:ind w:left="100" w:firstLine="0"/>
              <w:jc w:val="center"/>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0" w:lineRule="auto"/>
              <w:ind w:left="100" w:firstLine="0"/>
              <w:jc w:val="center"/>
              <w:rPr/>
            </w:pPr>
            <w:r w:rsidDel="00000000" w:rsidR="00000000" w:rsidRPr="00000000">
              <w:rPr>
                <w:rtl w:val="0"/>
              </w:rPr>
              <w:t xml:space="preserve">0.97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0" w:lineRule="auto"/>
              <w:ind w:left="100" w:firstLine="0"/>
              <w:jc w:val="center"/>
              <w:rPr/>
            </w:pPr>
            <w:r w:rsidDel="00000000" w:rsidR="00000000" w:rsidRPr="00000000">
              <w:rPr>
                <w:rtl w:val="0"/>
              </w:rPr>
              <w:t xml:space="preserve">0.05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0" w:lineRule="auto"/>
              <w:ind w:left="100" w:firstLine="0"/>
              <w:rPr/>
            </w:pPr>
            <w:r w:rsidDel="00000000" w:rsidR="00000000" w:rsidRPr="00000000">
              <w:rPr>
                <w:rtl w:val="0"/>
              </w:rPr>
              <w:t xml:space="preserve">Medicaid Enrollment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0" w:lineRule="auto"/>
              <w:ind w:left="100" w:firstLine="0"/>
              <w:jc w:val="center"/>
              <w:rPr/>
            </w:pPr>
            <w:r w:rsidDel="00000000" w:rsidR="00000000" w:rsidRPr="00000000">
              <w:rPr>
                <w:rtl w:val="0"/>
              </w:rPr>
              <w:t xml:space="preserve">0.97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0" w:lineRule="auto"/>
              <w:ind w:left="100" w:firstLine="0"/>
              <w:jc w:val="center"/>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0" w:lineRule="auto"/>
              <w:ind w:left="100" w:firstLine="0"/>
              <w:jc w:val="cente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0" w:lineRule="auto"/>
              <w:ind w:left="100" w:firstLine="0"/>
              <w:jc w:val="center"/>
              <w:rPr/>
            </w:pPr>
            <w:r w:rsidDel="00000000" w:rsidR="00000000" w:rsidRPr="00000000">
              <w:rPr>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0" w:lineRule="auto"/>
              <w:ind w:left="100" w:firstLine="0"/>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0" w:lineRule="auto"/>
              <w:ind w:left="100" w:firstLine="0"/>
              <w:jc w:val="center"/>
              <w:rPr/>
            </w:pPr>
            <w:r w:rsidDel="00000000" w:rsidR="00000000" w:rsidRPr="00000000">
              <w:rPr>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0" w:lineRule="auto"/>
              <w:ind w:left="100" w:firstLine="0"/>
              <w:jc w:val="center"/>
              <w:rPr/>
            </w:pPr>
            <w:r w:rsidDel="00000000" w:rsidR="00000000" w:rsidRPr="00000000">
              <w:rPr>
                <w:rtl w:val="0"/>
              </w:rPr>
              <w:t xml:space="preserve">0.07</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0" w:lineRule="auto"/>
              <w:ind w:left="100" w:firstLine="0"/>
              <w:rPr/>
            </w:pPr>
            <w:r w:rsidDel="00000000" w:rsidR="00000000" w:rsidRPr="00000000">
              <w:rPr>
                <w:rtl w:val="0"/>
              </w:rPr>
              <w:t xml:space="preserve">Gender Male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0" w:lineRule="auto"/>
              <w:ind w:left="100" w:firstLine="0"/>
              <w:jc w:val="center"/>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0" w:lineRule="auto"/>
              <w:ind w:left="100" w:firstLine="0"/>
              <w:jc w:val="center"/>
              <w:rPr/>
            </w:pPr>
            <w:r w:rsidDel="00000000" w:rsidR="00000000" w:rsidRPr="00000000">
              <w:rPr>
                <w:rtl w:val="0"/>
              </w:rPr>
              <w:t xml:space="preserve">0.06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0" w:lineRule="auto"/>
              <w:ind w:left="100" w:firstLine="0"/>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0" w:lineRule="auto"/>
              <w:ind w:left="100" w:firstLine="0"/>
              <w:jc w:val="center"/>
              <w:rPr/>
            </w:pPr>
            <w:r w:rsidDel="00000000" w:rsidR="00000000" w:rsidRPr="00000000">
              <w:rPr>
                <w:rtl w:val="0"/>
              </w:rPr>
              <w:t xml:space="preserve">0.09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0" w:lineRule="auto"/>
              <w:ind w:left="100" w:firstLine="0"/>
              <w:jc w:val="center"/>
              <w:rPr/>
            </w:pPr>
            <w:r w:rsidDel="00000000" w:rsidR="00000000" w:rsidRPr="00000000">
              <w:rPr>
                <w:rtl w:val="0"/>
              </w:rPr>
              <w:t xml:space="preserve">0.94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0" w:lineRule="auto"/>
              <w:ind w:left="100" w:firstLine="0"/>
              <w:jc w:val="center"/>
              <w:rPr/>
            </w:pPr>
            <w:r w:rsidDel="00000000" w:rsidR="00000000" w:rsidRPr="00000000">
              <w:rPr>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0" w:lineRule="auto"/>
              <w:ind w:left="100" w:firstLine="0"/>
              <w:jc w:val="center"/>
              <w:rPr>
                <w:vertAlign w:val="superscript"/>
              </w:rPr>
            </w:pPr>
            <w:r w:rsidDel="00000000" w:rsidR="00000000" w:rsidRPr="00000000">
              <w:rPr>
                <w:rtl w:val="0"/>
              </w:rPr>
              <w:t xml:space="preserve">1.25 </w:t>
            </w:r>
            <w:r w:rsidDel="00000000" w:rsidR="00000000" w:rsidRPr="00000000">
              <w:rPr>
                <w:vertAlign w:val="superscript"/>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0" w:lineRule="auto"/>
              <w:ind w:left="100" w:firstLine="0"/>
              <w:jc w:val="center"/>
              <w:rPr/>
            </w:pPr>
            <w:r w:rsidDel="00000000" w:rsidR="00000000" w:rsidRPr="00000000">
              <w:rPr>
                <w:rtl w:val="0"/>
              </w:rPr>
              <w:t xml:space="preserve">0.13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0" w:lineRule="auto"/>
              <w:ind w:left="100" w:firstLine="0"/>
              <w:rPr/>
            </w:pPr>
            <w:r w:rsidDel="00000000" w:rsidR="00000000" w:rsidRPr="00000000">
              <w:rPr>
                <w:rtl w:val="0"/>
              </w:rPr>
              <w:t xml:space="preserve">Unemployment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0" w:lineRule="auto"/>
              <w:ind w:left="100" w:firstLine="0"/>
              <w:jc w:val="center"/>
              <w:rPr/>
            </w:pPr>
            <w:r w:rsidDel="00000000" w:rsidR="00000000" w:rsidRPr="00000000">
              <w:rPr>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0" w:lineRule="auto"/>
              <w:ind w:left="100" w:firstLine="0"/>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0" w:lineRule="auto"/>
              <w:ind w:left="100" w:firstLine="0"/>
              <w:jc w:val="center"/>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0" w:lineRule="auto"/>
              <w:ind w:left="100" w:firstLine="0"/>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0" w:lineRule="auto"/>
              <w:ind w:left="100" w:firstLine="0"/>
              <w:jc w:val="center"/>
              <w:rPr/>
            </w:pPr>
            <w:r w:rsidDel="00000000" w:rsidR="00000000" w:rsidRPr="00000000">
              <w:rPr>
                <w:rtl w:val="0"/>
              </w:rPr>
              <w:t xml:space="preserve">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0" w:lineRule="auto"/>
              <w:ind w:left="100" w:firstLine="0"/>
              <w:jc w:val="center"/>
              <w:rPr/>
            </w:pPr>
            <w:r w:rsidDel="00000000" w:rsidR="00000000" w:rsidRPr="00000000">
              <w:rPr>
                <w:rtl w:val="0"/>
              </w:rPr>
              <w:t xml:space="preserve">0.98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0" w:lineRule="auto"/>
              <w:ind w:left="100" w:firstLine="0"/>
              <w:jc w:val="center"/>
              <w:rPr/>
            </w:pPr>
            <w:r w:rsidDel="00000000" w:rsidR="00000000" w:rsidRPr="00000000">
              <w:rPr>
                <w:rtl w:val="0"/>
              </w:rPr>
              <w:t xml:space="preserve">0.04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0" w:lineRule="auto"/>
              <w:ind w:left="100" w:firstLine="0"/>
              <w:rPr/>
            </w:pPr>
            <w:r w:rsidDel="00000000" w:rsidR="00000000" w:rsidRPr="00000000">
              <w:rPr>
                <w:rtl w:val="0"/>
              </w:rPr>
              <w:t xml:space="preserve">Health Spending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0" w:lineRule="auto"/>
              <w:ind w:left="100" w:firstLine="0"/>
              <w:jc w:val="center"/>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0" w:lineRule="auto"/>
              <w:ind w:left="10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0" w:lineRule="auto"/>
              <w:ind w:left="100" w:firstLine="0"/>
              <w:jc w:val="center"/>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0" w:lineRule="auto"/>
              <w:ind w:left="100" w:firstLine="0"/>
              <w:jc w:val="center"/>
              <w:rPr/>
            </w:pPr>
            <w:r w:rsidDel="00000000" w:rsidR="00000000" w:rsidRPr="00000000">
              <w:rPr>
                <w:rtl w:val="0"/>
              </w:rPr>
              <w:t xml:space="preserve">0.09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0" w:lineRule="auto"/>
              <w:ind w:left="100" w:firstLine="0"/>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0" w:lineRule="auto"/>
              <w:ind w:left="100" w:firstLine="0"/>
              <w:jc w:val="center"/>
              <w:rPr/>
            </w:pPr>
            <w:r w:rsidDel="00000000" w:rsidR="00000000" w:rsidRPr="00000000">
              <w:rPr>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0" w:lineRule="auto"/>
              <w:ind w:left="100" w:firstLine="0"/>
              <w:jc w:val="center"/>
              <w:rPr/>
            </w:pPr>
            <w:r w:rsidDel="00000000" w:rsidR="00000000" w:rsidRPr="00000000">
              <w:rPr>
                <w:rtl w:val="0"/>
              </w:rPr>
              <w:t xml:space="preserve">0.93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0" w:lineRule="auto"/>
              <w:ind w:left="100" w:firstLine="0"/>
              <w:jc w:val="center"/>
              <w:rPr/>
            </w:pPr>
            <w:r w:rsidDel="00000000" w:rsidR="00000000" w:rsidRPr="00000000">
              <w:rPr>
                <w:rtl w:val="0"/>
              </w:rPr>
              <w:t xml:space="preserve">0.07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0" w:lineRule="auto"/>
              <w:ind w:left="100" w:firstLine="0"/>
              <w:rPr/>
            </w:pPr>
            <w:r w:rsidDel="00000000" w:rsidR="00000000" w:rsidRPr="00000000">
              <w:rPr>
                <w:rtl w:val="0"/>
              </w:rPr>
              <w:t xml:space="preserve">Insurance Uninsured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0" w:lineRule="auto"/>
              <w:ind w:left="100" w:firstLine="0"/>
              <w:jc w:val="center"/>
              <w:rPr/>
            </w:pPr>
            <w:r w:rsidDel="00000000" w:rsidR="00000000" w:rsidRPr="00000000">
              <w:rPr>
                <w:rtl w:val="0"/>
              </w:rPr>
              <w:t xml:space="preserve">0.98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0" w:lineRule="auto"/>
              <w:ind w:left="100" w:firstLine="0"/>
              <w:jc w:val="center"/>
              <w:rPr/>
            </w:pPr>
            <w:r w:rsidDel="00000000" w:rsidR="00000000" w:rsidRPr="00000000">
              <w:rPr>
                <w:rtl w:val="0"/>
              </w:rPr>
              <w:t xml:space="preserve">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0" w:lineRule="auto"/>
              <w:ind w:left="100" w:firstLine="0"/>
              <w:jc w:val="center"/>
              <w:rPr/>
            </w:pPr>
            <w:r w:rsidDel="00000000" w:rsidR="00000000" w:rsidRPr="00000000">
              <w:rPr>
                <w:rtl w:val="0"/>
              </w:rPr>
              <w:t xml:space="preserve">0.91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0" w:lineRule="auto"/>
              <w:ind w:left="100" w:firstLine="0"/>
              <w:jc w:val="center"/>
              <w:rPr/>
            </w:pPr>
            <w:r w:rsidDel="00000000" w:rsidR="00000000" w:rsidRPr="00000000">
              <w:rPr>
                <w:rtl w:val="0"/>
              </w:rPr>
              <w:t xml:space="preserve">0.07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0" w:lineRule="auto"/>
              <w:ind w:left="100" w:firstLine="0"/>
              <w:jc w:val="cente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0" w:lineRule="auto"/>
              <w:ind w:left="100" w:firstLine="0"/>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0" w:lineRule="auto"/>
              <w:ind w:left="100" w:firstLine="0"/>
              <w:jc w:val="cente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0" w:lineRule="auto"/>
              <w:ind w:left="100" w:firstLine="0"/>
              <w:jc w:val="center"/>
              <w:rPr/>
            </w:pPr>
            <w:r w:rsidDel="00000000" w:rsidR="00000000" w:rsidRPr="00000000">
              <w:rPr>
                <w:rtl w:val="0"/>
              </w:rPr>
              <w:t xml:space="preserve">0.08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0" w:lineRule="auto"/>
              <w:ind w:left="100" w:firstLine="0"/>
              <w:rPr/>
            </w:pPr>
            <w:r w:rsidDel="00000000" w:rsidR="00000000" w:rsidRPr="00000000">
              <w:rPr>
                <w:rtl w:val="0"/>
              </w:rPr>
              <w:t xml:space="preserve">Hispanic Ethnicity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0" w:lineRule="auto"/>
              <w:ind w:left="100" w:firstLine="0"/>
              <w:jc w:val="center"/>
              <w:rPr/>
            </w:pPr>
            <w:r w:rsidDel="00000000" w:rsidR="00000000" w:rsidRPr="00000000">
              <w:rPr>
                <w:rtl w:val="0"/>
              </w:rPr>
              <w:t xml:space="preserve">0.96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0" w:lineRule="auto"/>
              <w:ind w:left="100" w:firstLine="0"/>
              <w:jc w:val="center"/>
              <w:rPr/>
            </w:pPr>
            <w:r w:rsidDel="00000000" w:rsidR="00000000" w:rsidRPr="00000000">
              <w:rPr>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0" w:lineRule="auto"/>
              <w:ind w:left="100" w:firstLine="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0" w:lineRule="auto"/>
              <w:ind w:left="100" w:firstLine="0"/>
              <w:jc w:val="center"/>
              <w:rPr/>
            </w:pPr>
            <w:r w:rsidDel="00000000" w:rsidR="00000000" w:rsidRPr="00000000">
              <w:rPr>
                <w:rtl w:val="0"/>
              </w:rPr>
              <w:t xml:space="preserve">0.13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0" w:lineRule="auto"/>
              <w:ind w:left="100" w:firstLine="0"/>
              <w:jc w:val="center"/>
              <w:rPr/>
            </w:pPr>
            <w:r w:rsidDel="00000000" w:rsidR="00000000" w:rsidRPr="00000000">
              <w:rPr>
                <w:rtl w:val="0"/>
              </w:rPr>
              <w:t xml:space="preserve">0.97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0" w:lineRule="auto"/>
              <w:ind w:left="100" w:firstLine="0"/>
              <w:jc w:val="center"/>
              <w:rPr/>
            </w:pPr>
            <w:r w:rsidDel="00000000" w:rsidR="00000000" w:rsidRPr="00000000">
              <w:rPr>
                <w:rtl w:val="0"/>
              </w:rPr>
              <w:t xml:space="preserve">0.09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0" w:lineRule="auto"/>
              <w:ind w:left="100" w:firstLine="0"/>
              <w:jc w:val="cente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0" w:lineRule="auto"/>
              <w:ind w:left="100" w:firstLine="0"/>
              <w:jc w:val="center"/>
              <w:rPr/>
            </w:pPr>
            <w:r w:rsidDel="00000000" w:rsidR="00000000" w:rsidRPr="00000000">
              <w:rPr>
                <w:rtl w:val="0"/>
              </w:rPr>
              <w:t xml:space="preserve">0.12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0" w:lineRule="auto"/>
              <w:ind w:left="100" w:firstLine="0"/>
              <w:rPr/>
            </w:pPr>
            <w:r w:rsidDel="00000000" w:rsidR="00000000" w:rsidRPr="00000000">
              <w:rPr>
                <w:rtl w:val="0"/>
              </w:rPr>
              <w:t xml:space="preserve">White Race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0" w:lineRule="auto"/>
              <w:ind w:left="100" w:firstLine="0"/>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0" w:lineRule="auto"/>
              <w:ind w:left="100" w:firstLine="0"/>
              <w:jc w:val="center"/>
              <w:rPr/>
            </w:pPr>
            <w:r w:rsidDel="00000000" w:rsidR="00000000" w:rsidRPr="00000000">
              <w:rPr>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0" w:lineRule="auto"/>
              <w:ind w:left="100" w:firstLine="0"/>
              <w:jc w:val="center"/>
              <w:rPr/>
            </w:pPr>
            <w:r w:rsidDel="00000000" w:rsidR="00000000" w:rsidRPr="00000000">
              <w:rPr>
                <w:rtl w:val="0"/>
              </w:rPr>
              <w:t xml:space="preserve">1.12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0" w:lineRule="auto"/>
              <w:ind w:left="100" w:firstLine="0"/>
              <w:jc w:val="center"/>
              <w:rPr/>
            </w:pPr>
            <w:r w:rsidDel="00000000" w:rsidR="00000000" w:rsidRPr="00000000">
              <w:rPr>
                <w:rtl w:val="0"/>
              </w:rPr>
              <w:t xml:space="preserve">0.13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0" w:lineRule="auto"/>
              <w:ind w:left="100" w:firstLine="0"/>
              <w:jc w:val="center"/>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0" w:lineRule="auto"/>
              <w:ind w:left="100" w:firstLine="0"/>
              <w:jc w:val="center"/>
              <w:rPr/>
            </w:pPr>
            <w:r w:rsidDel="00000000" w:rsidR="00000000" w:rsidRPr="00000000">
              <w:rPr>
                <w:rtl w:val="0"/>
              </w:rPr>
              <w:t xml:space="preserve">0.08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0" w:lineRule="auto"/>
              <w:ind w:left="100" w:firstLine="0"/>
              <w:jc w:val="center"/>
              <w:rPr/>
            </w:pPr>
            <w:r w:rsidDel="00000000" w:rsidR="00000000" w:rsidRPr="00000000">
              <w:rPr>
                <w:rtl w:val="0"/>
              </w:rPr>
              <w:t xml:space="preserve">0.88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0" w:lineRule="auto"/>
              <w:ind w:left="100" w:firstLine="0"/>
              <w:jc w:val="center"/>
              <w:rPr/>
            </w:pPr>
            <w:r w:rsidDel="00000000" w:rsidR="00000000" w:rsidRPr="00000000">
              <w:rPr>
                <w:rtl w:val="0"/>
              </w:rPr>
              <w:t xml:space="preserve">0.10</w:t>
            </w:r>
          </w:p>
          <w:p w:rsidR="00000000" w:rsidDel="00000000" w:rsidP="00000000" w:rsidRDefault="00000000" w:rsidRPr="00000000" w14:paraId="00000158">
            <w:pPr>
              <w:spacing w:after="0" w:lineRule="auto"/>
              <w:ind w:left="100" w:firstLine="0"/>
              <w:jc w:val="center"/>
              <w:rPr/>
            </w:pPr>
            <w:r w:rsidDel="00000000" w:rsidR="00000000" w:rsidRPr="00000000">
              <w:rPr>
                <w:rtl w:val="0"/>
              </w:rPr>
            </w:r>
          </w:p>
        </w:tc>
      </w:tr>
      <w:tr>
        <w:trPr>
          <w:cantSplit w:val="0"/>
          <w:trHeight w:val="270" w:hRule="atLeast"/>
          <w:tblHeader w:val="0"/>
        </w:trPr>
        <w:tc>
          <w:tcPr>
            <w:gridSpan w:val="9"/>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0" w:lineRule="auto"/>
              <w:ind w:left="100" w:firstLine="0"/>
              <w:rPr>
                <w:b w:val="1"/>
              </w:rPr>
            </w:pPr>
            <w:r w:rsidDel="00000000" w:rsidR="00000000" w:rsidRPr="00000000">
              <w:rPr>
                <w:b w:val="1"/>
                <w:rtl w:val="0"/>
              </w:rPr>
              <w:t xml:space="preserve">Random Effects</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0" w:lineRule="auto"/>
              <w:ind w:left="100" w:firstLine="0"/>
              <w:rPr>
                <w:vertAlign w:val="superscript"/>
              </w:rPr>
            </w:pPr>
            <w:r w:rsidDel="00000000" w:rsidR="00000000" w:rsidRPr="00000000">
              <w:rPr>
                <w:rtl w:val="0"/>
              </w:rPr>
              <w:t xml:space="preserve">σ</w:t>
            </w:r>
            <w:r w:rsidDel="00000000" w:rsidR="00000000" w:rsidRPr="00000000">
              <w:rPr>
                <w:vertAlign w:val="superscript"/>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0" w:lineRule="auto"/>
              <w:ind w:left="100" w:firstLine="0"/>
              <w:rPr/>
            </w:pPr>
            <w:r w:rsidDel="00000000" w:rsidR="00000000" w:rsidRPr="00000000">
              <w:rPr>
                <w:rtl w:val="0"/>
              </w:rPr>
              <w:t xml:space="preserve">0.01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0" w:lineRule="auto"/>
              <w:ind w:left="100" w:firstLine="0"/>
              <w:rPr/>
            </w:pPr>
            <w:r w:rsidDel="00000000" w:rsidR="00000000" w:rsidRPr="00000000">
              <w:rPr>
                <w:rtl w:val="0"/>
              </w:rPr>
              <w:t xml:space="preserve">0.02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0" w:lineRule="auto"/>
              <w:ind w:left="100" w:firstLine="0"/>
              <w:rPr/>
            </w:pPr>
            <w:r w:rsidDel="00000000" w:rsidR="00000000" w:rsidRPr="00000000">
              <w:rPr>
                <w:rtl w:val="0"/>
              </w:rPr>
              <w:t xml:space="preserve">0.01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after="0" w:lineRule="auto"/>
              <w:ind w:left="100" w:firstLine="0"/>
              <w:rPr/>
            </w:pPr>
            <w:r w:rsidDel="00000000" w:rsidR="00000000" w:rsidRPr="00000000">
              <w:rPr>
                <w:rtl w:val="0"/>
              </w:rPr>
              <w:t xml:space="preserve">0.05</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0" w:lineRule="auto"/>
              <w:ind w:left="100" w:firstLine="0"/>
              <w:rPr>
                <w:vertAlign w:val="subscript"/>
              </w:rPr>
            </w:pPr>
            <w:r w:rsidDel="00000000" w:rsidR="00000000" w:rsidRPr="00000000">
              <w:rPr>
                <w:rtl w:val="0"/>
              </w:rPr>
              <w:t xml:space="preserve">τ</w:t>
            </w:r>
            <w:r w:rsidDel="00000000" w:rsidR="00000000" w:rsidRPr="00000000">
              <w:rPr>
                <w:vertAlign w:val="subscript"/>
                <w:rtl w:val="0"/>
              </w:rPr>
              <w:t xml:space="preserve">00</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after="0" w:lineRule="auto"/>
              <w:ind w:left="100" w:firstLine="0"/>
              <w:rPr>
                <w:vertAlign w:val="subscript"/>
              </w:rPr>
            </w:pPr>
            <w:r w:rsidDel="00000000" w:rsidR="00000000" w:rsidRPr="00000000">
              <w:rPr>
                <w:rtl w:val="0"/>
              </w:rPr>
              <w:t xml:space="preserve">0.30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0" w:lineRule="auto"/>
              <w:ind w:left="100" w:firstLine="0"/>
              <w:rPr>
                <w:vertAlign w:val="subscript"/>
              </w:rPr>
            </w:pPr>
            <w:r w:rsidDel="00000000" w:rsidR="00000000" w:rsidRPr="00000000">
              <w:rPr>
                <w:rtl w:val="0"/>
              </w:rPr>
              <w:t xml:space="preserve">0.59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0" w:lineRule="auto"/>
              <w:ind w:left="100" w:firstLine="0"/>
              <w:rPr>
                <w:vertAlign w:val="subscript"/>
              </w:rPr>
            </w:pPr>
            <w:r w:rsidDel="00000000" w:rsidR="00000000" w:rsidRPr="00000000">
              <w:rPr>
                <w:rtl w:val="0"/>
              </w:rPr>
              <w:t xml:space="preserve">0.44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after="0" w:lineRule="auto"/>
              <w:ind w:left="100" w:firstLine="0"/>
              <w:rPr>
                <w:vertAlign w:val="subscript"/>
              </w:rPr>
            </w:pPr>
            <w:r w:rsidDel="00000000" w:rsidR="00000000" w:rsidRPr="00000000">
              <w:rPr>
                <w:rtl w:val="0"/>
              </w:rPr>
              <w:t xml:space="preserve">0.69 </w:t>
            </w:r>
            <w:r w:rsidDel="00000000" w:rsidR="00000000" w:rsidRPr="00000000">
              <w:rPr>
                <w:vertAlign w:val="subscript"/>
                <w:rtl w:val="0"/>
              </w:rPr>
              <w:t xml:space="preserve">State_Name</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4">
            <w:pPr>
              <w:ind w:left="100" w:firstLine="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0" w:lineRule="auto"/>
              <w:ind w:left="100" w:firstLine="0"/>
              <w:rPr>
                <w:vertAlign w:val="subscript"/>
              </w:rPr>
            </w:pPr>
            <w:r w:rsidDel="00000000" w:rsidR="00000000" w:rsidRPr="00000000">
              <w:rPr>
                <w:rtl w:val="0"/>
              </w:rPr>
              <w:t xml:space="preserve">0.00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0" w:lineRule="auto"/>
              <w:ind w:left="100" w:firstLine="0"/>
              <w:rPr>
                <w:vertAlign w:val="subscript"/>
              </w:rPr>
            </w:pPr>
            <w:r w:rsidDel="00000000" w:rsidR="00000000" w:rsidRPr="00000000">
              <w:rPr>
                <w:rtl w:val="0"/>
              </w:rPr>
              <w:t xml:space="preserve">0.01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0" w:lineRule="auto"/>
              <w:ind w:left="100" w:firstLine="0"/>
              <w:rPr>
                <w:vertAlign w:val="subscript"/>
              </w:rPr>
            </w:pPr>
            <w:r w:rsidDel="00000000" w:rsidR="00000000" w:rsidRPr="00000000">
              <w:rPr>
                <w:rtl w:val="0"/>
              </w:rPr>
              <w:t xml:space="preserve">0.00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0" w:lineRule="auto"/>
              <w:ind w:left="100" w:firstLine="0"/>
              <w:rPr>
                <w:vertAlign w:val="subscript"/>
              </w:rPr>
            </w:pPr>
            <w:r w:rsidDel="00000000" w:rsidR="00000000" w:rsidRPr="00000000">
              <w:rPr>
                <w:rtl w:val="0"/>
              </w:rPr>
              <w:t xml:space="preserve">0.00 </w:t>
            </w:r>
            <w:r w:rsidDel="00000000" w:rsidR="00000000" w:rsidRPr="00000000">
              <w:rPr>
                <w:vertAlign w:val="subscript"/>
                <w:rtl w:val="0"/>
              </w:rPr>
              <w:t xml:space="preserve">year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0" w:lineRule="auto"/>
              <w:ind w:left="100" w:firstLine="0"/>
              <w:rPr/>
            </w:pPr>
            <w:r w:rsidDel="00000000" w:rsidR="00000000" w:rsidRPr="00000000">
              <w:rPr>
                <w:rtl w:val="0"/>
              </w:rPr>
              <w:t xml:space="preserve">ICC</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0" w:lineRule="auto"/>
              <w:ind w:left="100" w:firstLine="0"/>
              <w:rPr/>
            </w:pPr>
            <w:r w:rsidDel="00000000" w:rsidR="00000000" w:rsidRPr="00000000">
              <w:rPr>
                <w:rtl w:val="0"/>
              </w:rPr>
              <w:t xml:space="preserve">0.98</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0" w:lineRule="auto"/>
              <w:ind w:left="100" w:firstLine="0"/>
              <w:rPr/>
            </w:pPr>
            <w:r w:rsidDel="00000000" w:rsidR="00000000" w:rsidRPr="00000000">
              <w:rPr>
                <w:rtl w:val="0"/>
              </w:rPr>
              <w:t xml:space="preserve">0.97</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0" w:lineRule="auto"/>
              <w:ind w:left="100" w:firstLine="0"/>
              <w:rPr/>
            </w:pPr>
            <w:r w:rsidDel="00000000" w:rsidR="00000000" w:rsidRPr="00000000">
              <w:rPr>
                <w:rtl w:val="0"/>
              </w:rPr>
              <w:t xml:space="preserve">0.98</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0" w:lineRule="auto"/>
              <w:ind w:left="100" w:firstLine="0"/>
              <w:rPr/>
            </w:pPr>
            <w:r w:rsidDel="00000000" w:rsidR="00000000" w:rsidRPr="00000000">
              <w:rPr>
                <w:rtl w:val="0"/>
              </w:rPr>
              <w:t xml:space="preserve">0.93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0" w:lineRule="auto"/>
              <w:ind w:left="100" w:firstLine="0"/>
              <w:rPr/>
            </w:pPr>
            <w:r w:rsidDel="00000000" w:rsidR="00000000" w:rsidRPr="00000000">
              <w:rPr>
                <w:rtl w:val="0"/>
              </w:rPr>
              <w:t xml:space="preserve">N</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after="0" w:lineRule="auto"/>
              <w:ind w:left="100" w:firstLine="0"/>
              <w:rPr>
                <w:vertAlign w:val="subscript"/>
              </w:rPr>
            </w:pPr>
            <w:r w:rsidDel="00000000" w:rsidR="00000000" w:rsidRPr="00000000">
              <w:rPr>
                <w:rtl w:val="0"/>
              </w:rPr>
              <w:t xml:space="preserve">51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0" w:lineRule="auto"/>
              <w:ind w:left="100" w:firstLine="0"/>
              <w:rPr>
                <w:vertAlign w:val="subscript"/>
              </w:rPr>
            </w:pPr>
            <w:r w:rsidDel="00000000" w:rsidR="00000000" w:rsidRPr="00000000">
              <w:rPr>
                <w:rtl w:val="0"/>
              </w:rPr>
              <w:t xml:space="preserve">51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0" w:lineRule="auto"/>
              <w:ind w:left="100" w:firstLine="0"/>
              <w:rPr>
                <w:vertAlign w:val="subscript"/>
              </w:rPr>
            </w:pPr>
            <w:r w:rsidDel="00000000" w:rsidR="00000000" w:rsidRPr="00000000">
              <w:rPr>
                <w:rtl w:val="0"/>
              </w:rPr>
              <w:t xml:space="preserve">51 </w:t>
            </w:r>
            <w:r w:rsidDel="00000000" w:rsidR="00000000" w:rsidRPr="00000000">
              <w:rPr>
                <w:vertAlign w:val="subscript"/>
                <w:rtl w:val="0"/>
              </w:rPr>
              <w:t xml:space="preserve">State_Name</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0" w:lineRule="auto"/>
              <w:ind w:left="100" w:firstLine="0"/>
              <w:rPr>
                <w:vertAlign w:val="subscript"/>
              </w:rPr>
            </w:pPr>
            <w:r w:rsidDel="00000000" w:rsidR="00000000" w:rsidRPr="00000000">
              <w:rPr>
                <w:rtl w:val="0"/>
              </w:rPr>
              <w:t xml:space="preserve">51 </w:t>
            </w:r>
            <w:r w:rsidDel="00000000" w:rsidR="00000000" w:rsidRPr="00000000">
              <w:rPr>
                <w:vertAlign w:val="subscript"/>
                <w:rtl w:val="0"/>
              </w:rPr>
              <w:t xml:space="preserve">State_Name</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F">
            <w:pPr>
              <w:ind w:left="100" w:firstLine="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0" w:lineRule="auto"/>
              <w:ind w:left="100" w:firstLine="0"/>
              <w:rPr>
                <w:vertAlign w:val="subscript"/>
              </w:rPr>
            </w:pPr>
            <w:r w:rsidDel="00000000" w:rsidR="00000000" w:rsidRPr="00000000">
              <w:rPr>
                <w:rtl w:val="0"/>
              </w:rPr>
              <w:t xml:space="preserve">5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0" w:lineRule="auto"/>
              <w:ind w:left="100" w:firstLine="0"/>
              <w:rPr>
                <w:vertAlign w:val="subscript"/>
              </w:rPr>
            </w:pPr>
            <w:r w:rsidDel="00000000" w:rsidR="00000000" w:rsidRPr="00000000">
              <w:rPr>
                <w:rtl w:val="0"/>
              </w:rPr>
              <w:t xml:space="preserve">5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after="0" w:lineRule="auto"/>
              <w:ind w:left="100" w:firstLine="0"/>
              <w:rPr>
                <w:vertAlign w:val="subscript"/>
              </w:rPr>
            </w:pPr>
            <w:r w:rsidDel="00000000" w:rsidR="00000000" w:rsidRPr="00000000">
              <w:rPr>
                <w:rtl w:val="0"/>
              </w:rPr>
              <w:t xml:space="preserve">5 </w:t>
            </w:r>
            <w:r w:rsidDel="00000000" w:rsidR="00000000" w:rsidRPr="00000000">
              <w:rPr>
                <w:vertAlign w:val="subscript"/>
                <w:rtl w:val="0"/>
              </w:rPr>
              <w:t xml:space="preserve">year</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0" w:lineRule="auto"/>
              <w:ind w:left="100" w:firstLine="0"/>
              <w:rPr>
                <w:vertAlign w:val="subscript"/>
              </w:rPr>
            </w:pPr>
            <w:r w:rsidDel="00000000" w:rsidR="00000000" w:rsidRPr="00000000">
              <w:rPr>
                <w:rtl w:val="0"/>
              </w:rPr>
              <w:t xml:space="preserve">5 </w:t>
            </w:r>
            <w:r w:rsidDel="00000000" w:rsidR="00000000" w:rsidRPr="00000000">
              <w:rPr>
                <w:vertAlign w:val="subscript"/>
                <w:rtl w:val="0"/>
              </w:rPr>
              <w:t xml:space="preserve">year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after="0" w:lineRule="auto"/>
              <w:ind w:left="100" w:firstLine="0"/>
              <w:rPr/>
            </w:pPr>
            <w:r w:rsidDel="00000000" w:rsidR="00000000" w:rsidRPr="00000000">
              <w:rPr>
                <w:rtl w:val="0"/>
              </w:rPr>
              <w:t xml:space="preserve">Observations</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0" w:lineRule="auto"/>
              <w:ind w:left="100" w:firstLine="0"/>
              <w:rPr/>
            </w:pPr>
            <w:r w:rsidDel="00000000" w:rsidR="00000000" w:rsidRPr="00000000">
              <w:rPr>
                <w:rtl w:val="0"/>
              </w:rPr>
              <w:t xml:space="preserve">255</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after="0" w:lineRule="auto"/>
              <w:ind w:left="100" w:firstLine="0"/>
              <w:rPr/>
            </w:pPr>
            <w:r w:rsidDel="00000000" w:rsidR="00000000" w:rsidRPr="00000000">
              <w:rPr>
                <w:rtl w:val="0"/>
              </w:rPr>
              <w:t xml:space="preserve">255</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after="0" w:lineRule="auto"/>
              <w:ind w:left="100" w:firstLine="0"/>
              <w:rPr/>
            </w:pPr>
            <w:r w:rsidDel="00000000" w:rsidR="00000000" w:rsidRPr="00000000">
              <w:rPr>
                <w:rtl w:val="0"/>
              </w:rPr>
              <w:t xml:space="preserve">255</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0" w:lineRule="auto"/>
              <w:ind w:left="100" w:firstLine="0"/>
              <w:rPr/>
            </w:pPr>
            <w:r w:rsidDel="00000000" w:rsidR="00000000" w:rsidRPr="00000000">
              <w:rPr>
                <w:rtl w:val="0"/>
              </w:rPr>
              <w:t xml:space="preserve">255</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0" w:lineRule="auto"/>
              <w:ind w:left="100" w:firstLine="0"/>
              <w:rPr>
                <w:vertAlign w:val="superscript"/>
              </w:rPr>
            </w:pPr>
            <w:r w:rsidDel="00000000" w:rsidR="00000000" w:rsidRPr="00000000">
              <w:rPr>
                <w:rtl w:val="0"/>
              </w:rPr>
              <w:t xml:space="preserve">Marginal R</w:t>
            </w:r>
            <w:r w:rsidDel="00000000" w:rsidR="00000000" w:rsidRPr="00000000">
              <w:rPr>
                <w:vertAlign w:val="superscript"/>
                <w:rtl w:val="0"/>
              </w:rPr>
              <w:t xml:space="preserve">2</w:t>
            </w:r>
            <w:r w:rsidDel="00000000" w:rsidR="00000000" w:rsidRPr="00000000">
              <w:rPr>
                <w:rtl w:val="0"/>
              </w:rPr>
              <w:t xml:space="preserve"> / Conditional R</w:t>
            </w:r>
            <w:r w:rsidDel="00000000" w:rsidR="00000000" w:rsidRPr="00000000">
              <w:rPr>
                <w:vertAlign w:val="superscript"/>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after="0" w:lineRule="auto"/>
              <w:ind w:left="100" w:firstLine="0"/>
              <w:rPr/>
            </w:pPr>
            <w:r w:rsidDel="00000000" w:rsidR="00000000" w:rsidRPr="00000000">
              <w:rPr>
                <w:rtl w:val="0"/>
              </w:rPr>
              <w:t xml:space="preserve">0.557 / 0.991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0" w:lineRule="auto"/>
              <w:ind w:left="100" w:firstLine="0"/>
              <w:rPr/>
            </w:pPr>
            <w:r w:rsidDel="00000000" w:rsidR="00000000" w:rsidRPr="00000000">
              <w:rPr>
                <w:rtl w:val="0"/>
              </w:rPr>
              <w:t xml:space="preserve">0.480 / 0.982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0" w:lineRule="auto"/>
              <w:ind w:left="100" w:firstLine="0"/>
              <w:rPr/>
            </w:pPr>
            <w:r w:rsidDel="00000000" w:rsidR="00000000" w:rsidRPr="00000000">
              <w:rPr>
                <w:rtl w:val="0"/>
              </w:rPr>
              <w:t xml:space="preserve">0.373 / 0.986</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0" w:lineRule="auto"/>
              <w:ind w:left="100" w:firstLine="0"/>
              <w:rPr/>
            </w:pPr>
            <w:r w:rsidDel="00000000" w:rsidR="00000000" w:rsidRPr="00000000">
              <w:rPr>
                <w:rtl w:val="0"/>
              </w:rPr>
              <w:t xml:space="preserve">0.384 / 0.956</w:t>
            </w:r>
          </w:p>
        </w:tc>
      </w:tr>
      <w:tr>
        <w:trPr>
          <w:cantSplit w:val="0"/>
          <w:trHeight w:val="285" w:hRule="atLeast"/>
          <w:tblHeader w:val="0"/>
        </w:trPr>
        <w:tc>
          <w:tcPr>
            <w:gridSpan w:val="9"/>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0" w:lineRule="auto"/>
              <w:ind w:left="100" w:firstLine="0"/>
              <w:jc w:val="right"/>
              <w:rPr>
                <w:b w:val="1"/>
                <w:i w:val="1"/>
              </w:rPr>
            </w:pPr>
            <w:r w:rsidDel="00000000" w:rsidR="00000000" w:rsidRPr="00000000">
              <w:rPr>
                <w:b w:val="1"/>
                <w:i w:val="1"/>
                <w:rtl w:val="0"/>
              </w:rPr>
              <w:t xml:space="preserve">* p&lt;0.05   ** p&lt;0.01   *** p&lt;0.001</w:t>
            </w:r>
          </w:p>
        </w:tc>
      </w:tr>
    </w:tbl>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firstLine="720"/>
        <w:rPr/>
      </w:pPr>
      <w:r w:rsidDel="00000000" w:rsidR="00000000" w:rsidRPr="00000000">
        <w:rPr/>
        <w:drawing>
          <wp:inline distB="114300" distT="114300" distL="114300" distR="114300">
            <wp:extent cx="5943600" cy="36703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t xml:space="preserve">Figure 2 – Random Effects per State in All Three Models</w:t>
      </w:r>
      <w:r w:rsidDel="00000000" w:rsidR="00000000" w:rsidRPr="00000000">
        <w:rPr>
          <w:rtl w:val="0"/>
        </w:rPr>
      </w:r>
    </w:p>
    <w:p w:rsidR="00000000" w:rsidDel="00000000" w:rsidP="00000000" w:rsidRDefault="00000000" w:rsidRPr="00000000" w14:paraId="000001B6">
      <w:pPr>
        <w:rPr/>
      </w:pPr>
      <w:r w:rsidDel="00000000" w:rsidR="00000000" w:rsidRPr="00000000">
        <w:br w:type="page"/>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5gq4abkepq3n" w:id="40"/>
      <w:bookmarkEnd w:id="40"/>
      <w:r w:rsidDel="00000000" w:rsidR="00000000" w:rsidRPr="00000000">
        <w:rPr>
          <w:rtl w:val="0"/>
        </w:rPr>
        <w:t xml:space="preserve">References</w:t>
      </w:r>
    </w:p>
    <w:p w:rsidR="00000000" w:rsidDel="00000000" w:rsidP="00000000" w:rsidRDefault="00000000" w:rsidRPr="00000000" w14:paraId="000001B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N. I. on D. (2023, June 30). </w:t>
      </w:r>
      <w:r w:rsidDel="00000000" w:rsidR="00000000" w:rsidRPr="00000000">
        <w:rPr>
          <w:rFonts w:ascii="Times New Roman" w:cs="Times New Roman" w:eastAsia="Times New Roman" w:hAnsi="Times New Roman"/>
          <w:i w:val="1"/>
          <w:sz w:val="24"/>
          <w:szCs w:val="24"/>
          <w:rtl w:val="0"/>
        </w:rPr>
        <w:t xml:space="preserve">Drug Overdose Death Rates | National Institute on Drug Abuse (NIDA)</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u w:val="single"/>
            <w:rtl w:val="0"/>
          </w:rPr>
          <w:t xml:space="preserve">https://nida.nih.gov/research-topics/trends-statistics/overdose-death-rates</w:t>
        </w:r>
      </w:hyperlink>
      <w:r w:rsidDel="00000000" w:rsidR="00000000" w:rsidRPr="00000000">
        <w:rPr>
          <w:rtl w:val="0"/>
        </w:rPr>
      </w:r>
    </w:p>
    <w:p w:rsidR="00000000" w:rsidDel="00000000" w:rsidP="00000000" w:rsidRDefault="00000000" w:rsidRPr="00000000" w14:paraId="000001BA">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Addiction treatment is booming and under-regulated</w:t>
      </w:r>
      <w:r w:rsidDel="00000000" w:rsidR="00000000" w:rsidRPr="00000000">
        <w:rPr>
          <w:rFonts w:ascii="Times New Roman" w:cs="Times New Roman" w:eastAsia="Times New Roman" w:hAnsi="Times New Roman"/>
          <w:sz w:val="24"/>
          <w:szCs w:val="24"/>
          <w:rtl w:val="0"/>
        </w:rPr>
        <w:t xml:space="preserve">. (2016, April 6). HMP Global Learning Network.</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https://www.hmpgloballearningnetwork.com/site/behavioral/article/addiction-treatment-booming-and-under-regulated</w:t>
        </w:r>
      </w:hyperlink>
      <w:r w:rsidDel="00000000" w:rsidR="00000000" w:rsidRPr="00000000">
        <w:rPr>
          <w:rtl w:val="0"/>
        </w:rPr>
      </w:r>
    </w:p>
    <w:p w:rsidR="00000000" w:rsidDel="00000000" w:rsidP="00000000" w:rsidRDefault="00000000" w:rsidRPr="00000000" w14:paraId="000001BB">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Auty, S. G., Cole, M. B., &amp; Wallace, J. (2022). Association Between Medicaid Managed Care Coverage of Substance Use Services and Treatment Utilization. </w:t>
      </w:r>
      <w:r w:rsidDel="00000000" w:rsidR="00000000" w:rsidRPr="00000000">
        <w:rPr>
          <w:rFonts w:ascii="Times New Roman" w:cs="Times New Roman" w:eastAsia="Times New Roman" w:hAnsi="Times New Roman"/>
          <w:i w:val="1"/>
          <w:sz w:val="24"/>
          <w:szCs w:val="24"/>
          <w:rtl w:val="0"/>
        </w:rPr>
        <w:t xml:space="preserve">JAMA Health Forum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(8), e222812.</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sz w:val="24"/>
            <w:szCs w:val="24"/>
            <w:u w:val="single"/>
            <w:rtl w:val="0"/>
          </w:rPr>
          <w:t xml:space="preserve">https://doi.org/10.1001/jamahealthforum.2022.2812</w:t>
        </w:r>
      </w:hyperlink>
      <w:r w:rsidDel="00000000" w:rsidR="00000000" w:rsidRPr="00000000">
        <w:rPr>
          <w:rtl w:val="0"/>
        </w:rPr>
      </w:r>
    </w:p>
    <w:p w:rsidR="00000000" w:rsidDel="00000000" w:rsidP="00000000" w:rsidRDefault="00000000" w:rsidRPr="00000000" w14:paraId="000001BC">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Average Cost of Drug Rehab [2023]: By Type, State &amp; More</w:t>
      </w:r>
      <w:r w:rsidDel="00000000" w:rsidR="00000000" w:rsidRPr="00000000">
        <w:rPr>
          <w:rFonts w:ascii="Times New Roman" w:cs="Times New Roman" w:eastAsia="Times New Roman" w:hAnsi="Times New Roman"/>
          <w:sz w:val="24"/>
          <w:szCs w:val="24"/>
          <w:rtl w:val="0"/>
        </w:rPr>
        <w:t xml:space="preserve">. (n.d.). NCDAS. Retrieved April 15, 2024, from</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sz w:val="24"/>
            <w:szCs w:val="24"/>
            <w:u w:val="single"/>
            <w:rtl w:val="0"/>
          </w:rPr>
          <w:t xml:space="preserve">https://drugabusestatistics.org/cost-of-rehab/</w:t>
        </w:r>
      </w:hyperlink>
      <w:r w:rsidDel="00000000" w:rsidR="00000000" w:rsidRPr="00000000">
        <w:rPr>
          <w:rtl w:val="0"/>
        </w:rPr>
      </w:r>
    </w:p>
    <w:p w:rsidR="00000000" w:rsidDel="00000000" w:rsidP="00000000" w:rsidRDefault="00000000" w:rsidRPr="00000000" w14:paraId="000001B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Bachhuber, M. A., Southern, W. N., &amp; Cunningham, C. O. (2014). Profiting and providing less care: Comprehensive services at for-profit, nonprofit, and public opioid treatment programs in the United States. </w:t>
      </w:r>
      <w:r w:rsidDel="00000000" w:rsidR="00000000" w:rsidRPr="00000000">
        <w:rPr>
          <w:rFonts w:ascii="Times New Roman" w:cs="Times New Roman" w:eastAsia="Times New Roman" w:hAnsi="Times New Roman"/>
          <w:i w:val="1"/>
          <w:sz w:val="24"/>
          <w:szCs w:val="24"/>
          <w:rtl w:val="0"/>
        </w:rPr>
        <w:t xml:space="preserve">Medical 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(5), 428–434.</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sz w:val="24"/>
            <w:szCs w:val="24"/>
            <w:u w:val="single"/>
            <w:rtl w:val="0"/>
          </w:rPr>
          <w:t xml:space="preserve">https://doi.org/10.1097/MLR.0000000000000121</w:t>
        </w:r>
      </w:hyperlink>
      <w:r w:rsidDel="00000000" w:rsidR="00000000" w:rsidRPr="00000000">
        <w:rPr>
          <w:rtl w:val="0"/>
        </w:rPr>
      </w:r>
    </w:p>
    <w:p w:rsidR="00000000" w:rsidDel="00000000" w:rsidP="00000000" w:rsidRDefault="00000000" w:rsidRPr="00000000" w14:paraId="000001BE">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Batts, K., Pemberton, M., Bose, J., Weimer, B., Henderson, L., Penne, M., Gfroerer, J., Trunzo, D., &amp; Strashny, A. (2012). Comparing and Evaluating Substance Use Treatment Utilization Estimates from the National Survey on Drug Use and Health and Other Data Sources. In </w:t>
      </w:r>
      <w:r w:rsidDel="00000000" w:rsidR="00000000" w:rsidRPr="00000000">
        <w:rPr>
          <w:rFonts w:ascii="Times New Roman" w:cs="Times New Roman" w:eastAsia="Times New Roman" w:hAnsi="Times New Roman"/>
          <w:i w:val="1"/>
          <w:sz w:val="24"/>
          <w:szCs w:val="24"/>
          <w:rtl w:val="0"/>
        </w:rPr>
        <w:t xml:space="preserve">CBHSQ Data Review</w:t>
      </w:r>
      <w:r w:rsidDel="00000000" w:rsidR="00000000" w:rsidRPr="00000000">
        <w:rPr>
          <w:rFonts w:ascii="Times New Roman" w:cs="Times New Roman" w:eastAsia="Times New Roman" w:hAnsi="Times New Roman"/>
          <w:sz w:val="24"/>
          <w:szCs w:val="24"/>
          <w:rtl w:val="0"/>
        </w:rPr>
        <w:t xml:space="preserve">. Substance Abuse and Mental Health Services Administration (US).</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sz w:val="24"/>
            <w:szCs w:val="24"/>
            <w:u w:val="single"/>
            <w:rtl w:val="0"/>
          </w:rPr>
          <w:t xml:space="preserve">http://www.ncbi.nlm.nih.gov/books/NBK390288/</w:t>
        </w:r>
      </w:hyperlink>
      <w:r w:rsidDel="00000000" w:rsidR="00000000" w:rsidRPr="00000000">
        <w:rPr>
          <w:rtl w:val="0"/>
        </w:rPr>
      </w:r>
    </w:p>
    <w:p w:rsidR="00000000" w:rsidDel="00000000" w:rsidP="00000000" w:rsidRDefault="00000000" w:rsidRPr="00000000" w14:paraId="000001B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Bates D, Mächler M, Bolker B, Walker S (2015). “Fitting Linear Mixed-Effects Models Using lme4.” </w:t>
      </w:r>
      <w:r w:rsidDel="00000000" w:rsidR="00000000" w:rsidRPr="00000000">
        <w:rPr>
          <w:rFonts w:ascii="Times New Roman" w:cs="Times New Roman" w:eastAsia="Times New Roman" w:hAnsi="Times New Roman"/>
          <w:i w:val="1"/>
          <w:sz w:val="24"/>
          <w:szCs w:val="24"/>
          <w:rtl w:val="0"/>
        </w:rPr>
        <w:t xml:space="preserve">Journal of Statistical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67</w:t>
      </w:r>
      <w:r w:rsidDel="00000000" w:rsidR="00000000" w:rsidRPr="00000000">
        <w:rPr>
          <w:rFonts w:ascii="Times New Roman" w:cs="Times New Roman" w:eastAsia="Times New Roman" w:hAnsi="Times New Roman"/>
          <w:sz w:val="24"/>
          <w:szCs w:val="24"/>
          <w:rtl w:val="0"/>
        </w:rPr>
        <w:t xml:space="preserve">(1), 1–48. </w:t>
      </w:r>
      <w:hyperlink r:id="rId26">
        <w:r w:rsidDel="00000000" w:rsidR="00000000" w:rsidRPr="00000000">
          <w:rPr>
            <w:rFonts w:ascii="Times New Roman" w:cs="Times New Roman" w:eastAsia="Times New Roman" w:hAnsi="Times New Roman"/>
            <w:sz w:val="24"/>
            <w:szCs w:val="24"/>
            <w:u w:val="single"/>
            <w:rtl w:val="0"/>
          </w:rPr>
          <w:t xml:space="preserve">doi:10.18637/jss.v067.i01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Beetham, T., Saloner, B., Gaye, M., Wakeman, S. E., Frank, R. G., &amp; Barnett, M. L. (2021). Admission Practices And Cost Of Care For Opioid Use Disorder At Residential Addiction Treatment Programs In The US. </w:t>
      </w:r>
      <w:r w:rsidDel="00000000" w:rsidR="00000000" w:rsidRPr="00000000">
        <w:rPr>
          <w:rFonts w:ascii="Times New Roman" w:cs="Times New Roman" w:eastAsia="Times New Roman" w:hAnsi="Times New Roman"/>
          <w:i w:val="1"/>
          <w:sz w:val="24"/>
          <w:szCs w:val="24"/>
          <w:rtl w:val="0"/>
        </w:rPr>
        <w:t xml:space="preserve">Health Affairs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(2), 317–325.</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sz w:val="24"/>
            <w:szCs w:val="24"/>
            <w:u w:val="single"/>
            <w:rtl w:val="0"/>
          </w:rPr>
          <w:t xml:space="preserve">https://doi.org/10.1377/hlthaff.2020.00378</w:t>
        </w:r>
      </w:hyperlink>
      <w:r w:rsidDel="00000000" w:rsidR="00000000" w:rsidRPr="00000000">
        <w:rPr>
          <w:rtl w:val="0"/>
        </w:rPr>
      </w:r>
    </w:p>
    <w:p w:rsidR="00000000" w:rsidDel="00000000" w:rsidP="00000000" w:rsidRDefault="00000000" w:rsidRPr="00000000" w14:paraId="000001C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Behavioral Health Statistics and Quality. (2021). </w:t>
      </w:r>
      <w:r w:rsidDel="00000000" w:rsidR="00000000" w:rsidRPr="00000000">
        <w:rPr>
          <w:rFonts w:ascii="Times New Roman" w:cs="Times New Roman" w:eastAsia="Times New Roman" w:hAnsi="Times New Roman"/>
          <w:i w:val="1"/>
          <w:sz w:val="24"/>
          <w:szCs w:val="24"/>
          <w:rtl w:val="0"/>
        </w:rPr>
        <w:t xml:space="preserve">1999 to 2019 National Surveys on Drug Use and Health (NSDUHs) small area estimation dataset: State small area estimates, by survey year, outcome, state, and age group, NSDUH methodological report</w:t>
      </w:r>
      <w:r w:rsidDel="00000000" w:rsidR="00000000" w:rsidRPr="00000000">
        <w:rPr>
          <w:rFonts w:ascii="Times New Roman" w:cs="Times New Roman" w:eastAsia="Times New Roman" w:hAnsi="Times New Roman"/>
          <w:sz w:val="24"/>
          <w:szCs w:val="24"/>
          <w:rtl w:val="0"/>
        </w:rPr>
        <w:t xml:space="preserve">. Rockville, MD: Substance Abuse and Mental Health Services Administration.</w:t>
      </w:r>
    </w:p>
    <w:p w:rsidR="00000000" w:rsidDel="00000000" w:rsidP="00000000" w:rsidRDefault="00000000" w:rsidRPr="00000000" w14:paraId="000001C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Medicare &amp; Medicaid Services (2022). </w:t>
      </w:r>
      <w:r w:rsidDel="00000000" w:rsidR="00000000" w:rsidRPr="00000000">
        <w:rPr>
          <w:rFonts w:ascii="Times New Roman" w:cs="Times New Roman" w:eastAsia="Times New Roman" w:hAnsi="Times New Roman"/>
          <w:i w:val="1"/>
          <w:sz w:val="24"/>
          <w:szCs w:val="24"/>
          <w:rtl w:val="0"/>
        </w:rPr>
        <w:t xml:space="preserve">Health Expenditures by State of Residence.</w:t>
      </w:r>
      <w:r w:rsidDel="00000000" w:rsidR="00000000" w:rsidRPr="00000000">
        <w:rPr>
          <w:rFonts w:ascii="Times New Roman" w:cs="Times New Roman" w:eastAsia="Times New Roman" w:hAnsi="Times New Roman"/>
          <w:sz w:val="24"/>
          <w:szCs w:val="24"/>
          <w:rtl w:val="0"/>
        </w:rPr>
        <w:t xml:space="preserve"> Retrieved (date accessed) at</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sz w:val="24"/>
            <w:szCs w:val="24"/>
            <w:u w:val="single"/>
            <w:rtl w:val="0"/>
          </w:rPr>
          <w:t xml:space="preserve">http://www.cms.gov/Research-Statistics-Data-and-Systems/Statistics-Trends-and-Reports/NationalHealthExpendData/Downloads/resident-state-estimates.zip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Chou, S.-Y. (2002). Asymmetric information, ownership and quality of care: An empirical analysis of nursing homes. </w:t>
      </w:r>
      <w:r w:rsidDel="00000000" w:rsidR="00000000" w:rsidRPr="00000000">
        <w:rPr>
          <w:rFonts w:ascii="Times New Roman" w:cs="Times New Roman" w:eastAsia="Times New Roman" w:hAnsi="Times New Roman"/>
          <w:i w:val="1"/>
          <w:sz w:val="24"/>
          <w:szCs w:val="24"/>
          <w:rtl w:val="0"/>
        </w:rPr>
        <w:t xml:space="preserve">Journal of Health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(2), 293–311.</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sz w:val="24"/>
            <w:szCs w:val="24"/>
            <w:u w:val="single"/>
            <w:rtl w:val="0"/>
          </w:rPr>
          <w:t xml:space="preserve">https://doi.org/10.1016/s0167-6296(01)00123-0</w:t>
        </w:r>
      </w:hyperlink>
      <w:r w:rsidDel="00000000" w:rsidR="00000000" w:rsidRPr="00000000">
        <w:rPr>
          <w:rtl w:val="0"/>
        </w:rPr>
      </w:r>
    </w:p>
    <w:p w:rsidR="00000000" w:rsidDel="00000000" w:rsidP="00000000" w:rsidRDefault="00000000" w:rsidRPr="00000000" w14:paraId="000001C4">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A. M., Freeborn, B. A., &amp; McManus, B. (2007). Competition and Crowding-Out among Public, Non-Profit, and For-Profit Organizations: Evidence from Outpatient Substance Abuse Treatment. </w:t>
      </w:r>
      <w:r w:rsidDel="00000000" w:rsidR="00000000" w:rsidRPr="00000000">
        <w:rPr>
          <w:rFonts w:ascii="Times New Roman" w:cs="Times New Roman" w:eastAsia="Times New Roman" w:hAnsi="Times New Roman"/>
          <w:i w:val="1"/>
          <w:sz w:val="24"/>
          <w:szCs w:val="24"/>
          <w:rtl w:val="0"/>
        </w:rPr>
        <w:t xml:space="preserve">SSRN Electronic Journal</w:t>
      </w:r>
      <w:r w:rsidDel="00000000" w:rsidR="00000000" w:rsidRPr="00000000">
        <w:rPr>
          <w:rFonts w:ascii="Times New Roman" w:cs="Times New Roman" w:eastAsia="Times New Roman" w:hAnsi="Times New Roman"/>
          <w:sz w:val="24"/>
          <w:szCs w:val="24"/>
          <w:rtl w:val="0"/>
        </w:rPr>
        <w:t xml:space="preserv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sz w:val="24"/>
            <w:szCs w:val="24"/>
            <w:u w:val="single"/>
            <w:rtl w:val="0"/>
          </w:rPr>
          <w:t xml:space="preserve">https://doi.org/10.2139/ssrn.984565</w:t>
        </w:r>
      </w:hyperlink>
      <w:r w:rsidDel="00000000" w:rsidR="00000000" w:rsidRPr="00000000">
        <w:rPr>
          <w:rtl w:val="0"/>
        </w:rPr>
      </w:r>
    </w:p>
    <w:p w:rsidR="00000000" w:rsidDel="00000000" w:rsidP="00000000" w:rsidRDefault="00000000" w:rsidRPr="00000000" w14:paraId="000001C5">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convergence function—RDocumentation</w:t>
      </w:r>
      <w:r w:rsidDel="00000000" w:rsidR="00000000" w:rsidRPr="00000000">
        <w:rPr>
          <w:rFonts w:ascii="Times New Roman" w:cs="Times New Roman" w:eastAsia="Times New Roman" w:hAnsi="Times New Roman"/>
          <w:sz w:val="24"/>
          <w:szCs w:val="24"/>
          <w:rtl w:val="0"/>
        </w:rPr>
        <w:t xml:space="preserve">. (n.d.). Retrieved April 24, 2024, from</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sz w:val="24"/>
            <w:szCs w:val="24"/>
            <w:u w:val="single"/>
            <w:rtl w:val="0"/>
          </w:rPr>
          <w:t xml:space="preserve">https://www.rdocumentation.org/packages/lme4/versions/1.1-27.1/topics/convergence</w:t>
        </w:r>
      </w:hyperlink>
      <w:r w:rsidDel="00000000" w:rsidR="00000000" w:rsidRPr="00000000">
        <w:rPr>
          <w:rtl w:val="0"/>
        </w:rPr>
      </w:r>
    </w:p>
    <w:p w:rsidR="00000000" w:rsidDel="00000000" w:rsidP="00000000" w:rsidRDefault="00000000" w:rsidRPr="00000000" w14:paraId="000001C6">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Drug Overdose Deaths | Drug Overdose | CDC Injury Center</w:t>
      </w:r>
      <w:r w:rsidDel="00000000" w:rsidR="00000000" w:rsidRPr="00000000">
        <w:rPr>
          <w:rFonts w:ascii="Times New Roman" w:cs="Times New Roman" w:eastAsia="Times New Roman" w:hAnsi="Times New Roman"/>
          <w:sz w:val="24"/>
          <w:szCs w:val="24"/>
          <w:rtl w:val="0"/>
        </w:rPr>
        <w:t xml:space="preserve">. (2023, August 22).</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sz w:val="24"/>
            <w:szCs w:val="24"/>
            <w:u w:val="single"/>
            <w:rtl w:val="0"/>
          </w:rPr>
          <w:t xml:space="preserve">https://www.cdc.gov/drugoverdose/deaths/index.html</w:t>
        </w:r>
      </w:hyperlink>
      <w:r w:rsidDel="00000000" w:rsidR="00000000" w:rsidRPr="00000000">
        <w:rPr>
          <w:rtl w:val="0"/>
        </w:rPr>
      </w:r>
    </w:p>
    <w:p w:rsidR="00000000" w:rsidDel="00000000" w:rsidP="00000000" w:rsidRDefault="00000000" w:rsidRPr="00000000" w14:paraId="000001C7">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Drug Overdose Mortality by State</w:t>
      </w:r>
      <w:r w:rsidDel="00000000" w:rsidR="00000000" w:rsidRPr="00000000">
        <w:rPr>
          <w:rFonts w:ascii="Times New Roman" w:cs="Times New Roman" w:eastAsia="Times New Roman" w:hAnsi="Times New Roman"/>
          <w:sz w:val="24"/>
          <w:szCs w:val="24"/>
          <w:rtl w:val="0"/>
        </w:rPr>
        <w:t xml:space="preserve">| NCHS Pressroom. (2022, March 1).</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sz w:val="24"/>
            <w:szCs w:val="24"/>
            <w:u w:val="single"/>
            <w:rtl w:val="0"/>
          </w:rPr>
          <w:t xml:space="preserve">https://www.cdc.gov/nchs/pressroom/sosmap/drug_poisoning_mortality/drug_poisoning.htm</w:t>
        </w:r>
      </w:hyperlink>
      <w:r w:rsidDel="00000000" w:rsidR="00000000" w:rsidRPr="00000000">
        <w:rPr>
          <w:rtl w:val="0"/>
        </w:rPr>
      </w:r>
    </w:p>
    <w:p w:rsidR="00000000" w:rsidDel="00000000" w:rsidP="00000000" w:rsidRDefault="00000000" w:rsidRPr="00000000" w14:paraId="000001C8">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 K., Luo, L., Verdery, A. M., &amp; Monnat, S. M. (2024). Shifting Cohort Patterns in the Use of Drugs with Elevated Overdose Risk in the United States. </w:t>
      </w:r>
      <w:r w:rsidDel="00000000" w:rsidR="00000000" w:rsidRPr="00000000">
        <w:rPr>
          <w:rFonts w:ascii="Times New Roman" w:cs="Times New Roman" w:eastAsia="Times New Roman" w:hAnsi="Times New Roman"/>
          <w:i w:val="1"/>
          <w:sz w:val="24"/>
          <w:szCs w:val="24"/>
          <w:rtl w:val="0"/>
        </w:rPr>
        <w:t xml:space="preserve">Social Problems</w:t>
      </w:r>
      <w:r w:rsidDel="00000000" w:rsidR="00000000" w:rsidRPr="00000000">
        <w:rPr>
          <w:rFonts w:ascii="Times New Roman" w:cs="Times New Roman" w:eastAsia="Times New Roman" w:hAnsi="Times New Roman"/>
          <w:sz w:val="24"/>
          <w:szCs w:val="24"/>
          <w:rtl w:val="0"/>
        </w:rPr>
        <w:t xml:space="preserve">, spae013.</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sz w:val="24"/>
            <w:szCs w:val="24"/>
            <w:u w:val="single"/>
            <w:rtl w:val="0"/>
          </w:rPr>
          <w:t xml:space="preserve">https://doi.org/10.1093/socpro/spae013</w:t>
        </w:r>
      </w:hyperlink>
      <w:r w:rsidDel="00000000" w:rsidR="00000000" w:rsidRPr="00000000">
        <w:rPr>
          <w:rtl w:val="0"/>
        </w:rPr>
      </w:r>
    </w:p>
    <w:p w:rsidR="00000000" w:rsidDel="00000000" w:rsidP="00000000" w:rsidRDefault="00000000" w:rsidRPr="00000000" w14:paraId="000001C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Examining Substance Use Disorder Treatment Demand and Provider Capacity in a Changing Health Care System: Final Report</w:t>
      </w:r>
      <w:r w:rsidDel="00000000" w:rsidR="00000000" w:rsidRPr="00000000">
        <w:rPr>
          <w:rFonts w:ascii="Times New Roman" w:cs="Times New Roman" w:eastAsia="Times New Roman" w:hAnsi="Times New Roman"/>
          <w:sz w:val="24"/>
          <w:szCs w:val="24"/>
          <w:rtl w:val="0"/>
        </w:rPr>
        <w:t xml:space="preserve">. (2018, July 30). ASPE.</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sz w:val="24"/>
            <w:szCs w:val="24"/>
            <w:u w:val="single"/>
            <w:rtl w:val="0"/>
          </w:rPr>
          <w:t xml:space="preserve">https://aspe.hhs.gov/reports/examining-substance-use-disorder-treatment-demand-provider-capacity-changing-health-care-system-1</w:t>
        </w:r>
      </w:hyperlink>
      <w:r w:rsidDel="00000000" w:rsidR="00000000" w:rsidRPr="00000000">
        <w:rPr>
          <w:rtl w:val="0"/>
        </w:rPr>
      </w:r>
    </w:p>
    <w:p w:rsidR="00000000" w:rsidDel="00000000" w:rsidP="00000000" w:rsidRDefault="00000000" w:rsidRPr="00000000" w14:paraId="000001CA">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Folland, S., Goodman, A.C., &amp; Stano, M. (2017). The Economics of Health and Health Care: International Student Edition, 8th Edition (8th ed.). Routledge.</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sz w:val="24"/>
            <w:szCs w:val="24"/>
            <w:u w:val="single"/>
            <w:rtl w:val="0"/>
          </w:rPr>
          <w:t xml:space="preserve">https://doi.org/10.4324/9781315103488</w:t>
        </w:r>
      </w:hyperlink>
      <w:r w:rsidDel="00000000" w:rsidR="00000000" w:rsidRPr="00000000">
        <w:rPr>
          <w:rtl w:val="0"/>
        </w:rPr>
      </w:r>
    </w:p>
    <w:p w:rsidR="00000000" w:rsidDel="00000000" w:rsidP="00000000" w:rsidRDefault="00000000" w:rsidRPr="00000000" w14:paraId="000001CB">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Hamersma, S., &amp; Maclean, J. C. (2021). Do expansions in adolescent access to public insurance affect the decisions of substance use disorder treatment providers? Journal of Health Economics, 76, 102434. </w:t>
      </w:r>
      <w:hyperlink r:id="rId47">
        <w:r w:rsidDel="00000000" w:rsidR="00000000" w:rsidRPr="00000000">
          <w:rPr>
            <w:rFonts w:ascii="Times New Roman" w:cs="Times New Roman" w:eastAsia="Times New Roman" w:hAnsi="Times New Roman"/>
            <w:sz w:val="24"/>
            <w:szCs w:val="24"/>
            <w:u w:val="single"/>
            <w:rtl w:val="0"/>
          </w:rPr>
          <w:t xml:space="preserve">https://doi.org/10.1016/j.jhealeco.2021.102434</w:t>
        </w:r>
      </w:hyperlink>
      <w:r w:rsidDel="00000000" w:rsidR="00000000" w:rsidRPr="00000000">
        <w:rPr>
          <w:rtl w:val="0"/>
        </w:rPr>
      </w:r>
    </w:p>
    <w:p w:rsidR="00000000" w:rsidDel="00000000" w:rsidP="00000000" w:rsidRDefault="00000000" w:rsidRPr="00000000" w14:paraId="000001CC">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Hansmann, H., Kessler, D. P., &amp; McClellan, M. B. (2002). </w:t>
      </w:r>
      <w:r w:rsidDel="00000000" w:rsidR="00000000" w:rsidRPr="00000000">
        <w:rPr>
          <w:rFonts w:ascii="Times New Roman" w:cs="Times New Roman" w:eastAsia="Times New Roman" w:hAnsi="Times New Roman"/>
          <w:i w:val="1"/>
          <w:sz w:val="24"/>
          <w:szCs w:val="24"/>
          <w:rtl w:val="0"/>
        </w:rPr>
        <w:t xml:space="preserve">Ownership Form and Trapped Capital in the Hospital Industry</w:t>
      </w:r>
      <w:r w:rsidDel="00000000" w:rsidR="00000000" w:rsidRPr="00000000">
        <w:rPr>
          <w:rFonts w:ascii="Times New Roman" w:cs="Times New Roman" w:eastAsia="Times New Roman" w:hAnsi="Times New Roman"/>
          <w:sz w:val="24"/>
          <w:szCs w:val="24"/>
          <w:rtl w:val="0"/>
        </w:rPr>
        <w:t xml:space="preserve"> (SSRN Scholarly Paper 313827).</w:t>
      </w:r>
      <w:hyperlink r:id="rId48">
        <w:r w:rsidDel="00000000" w:rsidR="00000000" w:rsidRPr="00000000">
          <w:rPr>
            <w:rFonts w:ascii="Times New Roman" w:cs="Times New Roman" w:eastAsia="Times New Roman" w:hAnsi="Times New Roman"/>
            <w:sz w:val="24"/>
            <w:szCs w:val="24"/>
            <w:rtl w:val="0"/>
          </w:rPr>
          <w:t xml:space="preserve"> </w:t>
        </w:r>
      </w:hyperlink>
      <w:hyperlink r:id="rId49">
        <w:r w:rsidDel="00000000" w:rsidR="00000000" w:rsidRPr="00000000">
          <w:rPr>
            <w:rFonts w:ascii="Times New Roman" w:cs="Times New Roman" w:eastAsia="Times New Roman" w:hAnsi="Times New Roman"/>
            <w:sz w:val="24"/>
            <w:szCs w:val="24"/>
            <w:u w:val="single"/>
            <w:rtl w:val="0"/>
          </w:rPr>
          <w:t xml:space="preserve">https://doi.org/10.2139/ssrn.313827</w:t>
        </w:r>
      </w:hyperlink>
      <w:r w:rsidDel="00000000" w:rsidR="00000000" w:rsidRPr="00000000">
        <w:rPr>
          <w:rtl w:val="0"/>
        </w:rPr>
      </w:r>
    </w:p>
    <w:p w:rsidR="00000000" w:rsidDel="00000000" w:rsidP="00000000" w:rsidRDefault="00000000" w:rsidRPr="00000000" w14:paraId="000001C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Kingma, B. R. (1997). Public good theories of the non-profit sector: Weisbrod revisited. </w:t>
      </w:r>
      <w:r w:rsidDel="00000000" w:rsidR="00000000" w:rsidRPr="00000000">
        <w:rPr>
          <w:rFonts w:ascii="Times New Roman" w:cs="Times New Roman" w:eastAsia="Times New Roman" w:hAnsi="Times New Roman"/>
          <w:i w:val="1"/>
          <w:sz w:val="24"/>
          <w:szCs w:val="24"/>
          <w:rtl w:val="0"/>
        </w:rPr>
        <w:t xml:space="preserve">Voluntas: International Journal of Voluntary and Nonprofit Organizations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(2), 135–148. </w:t>
      </w:r>
      <w:hyperlink r:id="rId50">
        <w:r w:rsidDel="00000000" w:rsidR="00000000" w:rsidRPr="00000000">
          <w:rPr>
            <w:rFonts w:ascii="Times New Roman" w:cs="Times New Roman" w:eastAsia="Times New Roman" w:hAnsi="Times New Roman"/>
            <w:sz w:val="24"/>
            <w:szCs w:val="24"/>
            <w:u w:val="single"/>
            <w:rtl w:val="0"/>
          </w:rPr>
          <w:t xml:space="preserve">https://doi.org/10.1007/BF02354191</w:t>
        </w:r>
      </w:hyperlink>
      <w:r w:rsidDel="00000000" w:rsidR="00000000" w:rsidRPr="00000000">
        <w:rPr>
          <w:rtl w:val="0"/>
        </w:rPr>
      </w:r>
    </w:p>
    <w:p w:rsidR="00000000" w:rsidDel="00000000" w:rsidP="00000000" w:rsidRDefault="00000000" w:rsidRPr="00000000" w14:paraId="000001CE">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Lyle Cooper, R., Thompson, J., Edgerton, R., Watson, J., MacMaster, S. A., Kalliny, M., Huffman, M. M., Juarez, P., Mathews-Juarez, P., Tabatabai, M., &amp; Singh, K. P. (2020). Modeling dynamics of fatal opioid overdose by state and across time. </w:t>
      </w:r>
      <w:r w:rsidDel="00000000" w:rsidR="00000000" w:rsidRPr="00000000">
        <w:rPr>
          <w:rFonts w:ascii="Times New Roman" w:cs="Times New Roman" w:eastAsia="Times New Roman" w:hAnsi="Times New Roman"/>
          <w:i w:val="1"/>
          <w:sz w:val="24"/>
          <w:szCs w:val="24"/>
          <w:rtl w:val="0"/>
        </w:rPr>
        <w:t xml:space="preserve">Preventive Medicine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101184.</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sz w:val="24"/>
            <w:szCs w:val="24"/>
            <w:u w:val="single"/>
            <w:rtl w:val="0"/>
          </w:rPr>
          <w:t xml:space="preserve">https://doi.org/10.1016/j.pmedr.2020.101184</w:t>
        </w:r>
      </w:hyperlink>
      <w:r w:rsidDel="00000000" w:rsidR="00000000" w:rsidRPr="00000000">
        <w:rPr>
          <w:rtl w:val="0"/>
        </w:rPr>
      </w:r>
    </w:p>
    <w:p w:rsidR="00000000" w:rsidDel="00000000" w:rsidP="00000000" w:rsidRDefault="00000000" w:rsidRPr="00000000" w14:paraId="000001CF">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Maclean, J. C., Popovici, I., &amp; Stern, E. R. (2018). Health Insurance Expansions and Providers’ Behavior: Evidence from Substance-Use- Disorder Treatment Providers. </w:t>
      </w:r>
      <w:r w:rsidDel="00000000" w:rsidR="00000000" w:rsidRPr="00000000">
        <w:rPr>
          <w:rFonts w:ascii="Times New Roman" w:cs="Times New Roman" w:eastAsia="Times New Roman" w:hAnsi="Times New Roman"/>
          <w:i w:val="1"/>
          <w:sz w:val="24"/>
          <w:szCs w:val="24"/>
          <w:rtl w:val="0"/>
        </w:rPr>
        <w:t xml:space="preserve">The Journal of Law and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(2), 279–310.</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sz w:val="24"/>
            <w:szCs w:val="24"/>
            <w:u w:val="single"/>
            <w:rtl w:val="0"/>
          </w:rPr>
          <w:t xml:space="preserve">https://doi.org/10.1086/699842</w:t>
        </w:r>
      </w:hyperlink>
      <w:r w:rsidDel="00000000" w:rsidR="00000000" w:rsidRPr="00000000">
        <w:rPr>
          <w:rtl w:val="0"/>
        </w:rPr>
      </w:r>
    </w:p>
    <w:p w:rsidR="00000000" w:rsidDel="00000000" w:rsidP="00000000" w:rsidRDefault="00000000" w:rsidRPr="00000000" w14:paraId="000001D0">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 B. (2021, February 15). As Addiction Deaths Surge, Profit-Driven Rehab Industry Faces “Severe Ethical Crisis.”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w:t>
      </w:r>
      <w:hyperlink r:id="rId55">
        <w:r w:rsidDel="00000000" w:rsidR="00000000" w:rsidRPr="00000000">
          <w:rPr>
            <w:rFonts w:ascii="Times New Roman" w:cs="Times New Roman" w:eastAsia="Times New Roman" w:hAnsi="Times New Roman"/>
            <w:sz w:val="24"/>
            <w:szCs w:val="24"/>
            <w:rtl w:val="0"/>
          </w:rPr>
          <w:t xml:space="preserve"> </w:t>
        </w:r>
      </w:hyperlink>
      <w:hyperlink r:id="rId56">
        <w:r w:rsidDel="00000000" w:rsidR="00000000" w:rsidRPr="00000000">
          <w:rPr>
            <w:rFonts w:ascii="Times New Roman" w:cs="Times New Roman" w:eastAsia="Times New Roman" w:hAnsi="Times New Roman"/>
            <w:sz w:val="24"/>
            <w:szCs w:val="24"/>
            <w:u w:val="single"/>
            <w:rtl w:val="0"/>
          </w:rPr>
          <w:t xml:space="preserve">https://www.npr.org/2021/02/15/963700736/as-addiction-deaths-surge-profit-driven-rehab-industry-faces-severe-ethical-cris</w:t>
        </w:r>
      </w:hyperlink>
      <w:r w:rsidDel="00000000" w:rsidR="00000000" w:rsidRPr="00000000">
        <w:rPr>
          <w:rtl w:val="0"/>
        </w:rPr>
      </w:r>
    </w:p>
    <w:p w:rsidR="00000000" w:rsidDel="00000000" w:rsidP="00000000" w:rsidRDefault="00000000" w:rsidRPr="00000000" w14:paraId="000001D1">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McGlynn, E. A., Asch, S. M., Adams, J., Keesey, J., Hicks, J., DeCristofaro, A., &amp; Kerr, E. A. (2003). The quality of health care delivered to adults in the United States. </w:t>
      </w:r>
      <w:r w:rsidDel="00000000" w:rsidR="00000000" w:rsidRPr="00000000">
        <w:rPr>
          <w:rFonts w:ascii="Times New Roman" w:cs="Times New Roman" w:eastAsia="Times New Roman" w:hAnsi="Times New Roman"/>
          <w:i w:val="1"/>
          <w:sz w:val="24"/>
          <w:szCs w:val="24"/>
          <w:rtl w:val="0"/>
        </w:rPr>
        <w:t xml:space="preserve">The New England Journal of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348</w:t>
      </w:r>
      <w:r w:rsidDel="00000000" w:rsidR="00000000" w:rsidRPr="00000000">
        <w:rPr>
          <w:rFonts w:ascii="Times New Roman" w:cs="Times New Roman" w:eastAsia="Times New Roman" w:hAnsi="Times New Roman"/>
          <w:sz w:val="24"/>
          <w:szCs w:val="24"/>
          <w:rtl w:val="0"/>
        </w:rPr>
        <w:t xml:space="preserve">(26), 2635–2645.</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sz w:val="24"/>
            <w:szCs w:val="24"/>
            <w:u w:val="single"/>
            <w:rtl w:val="0"/>
          </w:rPr>
          <w:t xml:space="preserve">https://doi.org/10.1056/NEJMsa022615</w:t>
        </w:r>
      </w:hyperlink>
      <w:r w:rsidDel="00000000" w:rsidR="00000000" w:rsidRPr="00000000">
        <w:rPr>
          <w:rtl w:val="0"/>
        </w:rPr>
      </w:r>
    </w:p>
    <w:p w:rsidR="00000000" w:rsidDel="00000000" w:rsidP="00000000" w:rsidRDefault="00000000" w:rsidRPr="00000000" w14:paraId="000001D2">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Meinhofer, A., &amp; Witman, A. E. (2018). The role of health insurance on treatment for opioid use disorders: Evidence from the Affordable Care Act Medicaid expansion. Journal of Health Economics, 60, 177–197.</w:t>
      </w:r>
      <w:hyperlink r:id="rId59">
        <w:r w:rsidDel="00000000" w:rsidR="00000000" w:rsidRPr="00000000">
          <w:rPr>
            <w:rFonts w:ascii="Times New Roman" w:cs="Times New Roman" w:eastAsia="Times New Roman" w:hAnsi="Times New Roman"/>
            <w:sz w:val="24"/>
            <w:szCs w:val="24"/>
            <w:u w:val="single"/>
            <w:rtl w:val="0"/>
          </w:rPr>
          <w:t xml:space="preserve">https://doi.org/10.1016/j.jhealeco.2018.06.004</w:t>
        </w:r>
      </w:hyperlink>
      <w:r w:rsidDel="00000000" w:rsidR="00000000" w:rsidRPr="00000000">
        <w:rPr>
          <w:rtl w:val="0"/>
        </w:rPr>
      </w:r>
    </w:p>
    <w:p w:rsidR="00000000" w:rsidDel="00000000" w:rsidP="00000000" w:rsidRDefault="00000000" w:rsidRPr="00000000" w14:paraId="000001D3">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Meara, E., &amp; Frank, R. G. (2005). Spending on substance abuse treatment: How much is enough? </w:t>
      </w:r>
      <w:r w:rsidDel="00000000" w:rsidR="00000000" w:rsidRPr="00000000">
        <w:rPr>
          <w:rFonts w:ascii="Times New Roman" w:cs="Times New Roman" w:eastAsia="Times New Roman" w:hAnsi="Times New Roman"/>
          <w:i w:val="1"/>
          <w:sz w:val="24"/>
          <w:szCs w:val="24"/>
          <w:rtl w:val="0"/>
        </w:rPr>
        <w:t xml:space="preserve">Addiction (Abingdon, England)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(9), 1240–1248.</w:t>
      </w:r>
      <w:r w:rsidDel="00000000" w:rsidR="00000000" w:rsidRPr="00000000">
        <w:rPr>
          <w:rtl w:val="0"/>
        </w:rPr>
        <w:t xml:space="preserve"> </w:t>
      </w:r>
      <w:hyperlink r:id="rId60">
        <w:r w:rsidDel="00000000" w:rsidR="00000000" w:rsidRPr="00000000">
          <w:rPr>
            <w:rFonts w:ascii="Times New Roman" w:cs="Times New Roman" w:eastAsia="Times New Roman" w:hAnsi="Times New Roman"/>
            <w:sz w:val="24"/>
            <w:szCs w:val="24"/>
            <w:u w:val="single"/>
            <w:rtl w:val="0"/>
          </w:rPr>
          <w:t xml:space="preserve">https://doi.org/10.1111/j.1360-0443.2005.01227.x</w:t>
        </w:r>
      </w:hyperlink>
      <w:r w:rsidDel="00000000" w:rsidR="00000000" w:rsidRPr="00000000">
        <w:rPr>
          <w:rtl w:val="0"/>
        </w:rPr>
      </w:r>
    </w:p>
    <w:p w:rsidR="00000000" w:rsidDel="00000000" w:rsidP="00000000" w:rsidRDefault="00000000" w:rsidRPr="00000000" w14:paraId="000001D4">
      <w:pPr>
        <w:numPr>
          <w:ilvl w:val="0"/>
          <w:numId w:val="1"/>
        </w:numPr>
        <w:spacing w:after="0" w:afterAutospacing="0"/>
        <w:ind w:left="720" w:hanging="360"/>
        <w:rPr/>
      </w:pPr>
      <w:r w:rsidDel="00000000" w:rsidR="00000000" w:rsidRPr="00000000">
        <w:rPr>
          <w:rtl w:val="0"/>
        </w:rPr>
        <w:t xml:space="preserve">Mojtabai, R., Mauro, C., Wall, M. M., Barry, C. L., &amp; Olfson, M. (2019). Medication treatment for opioid use disorders in substance use treatment facilities. Health Affairs, 38(1), 14-23. </w:t>
      </w:r>
      <w:hyperlink r:id="rId61">
        <w:r w:rsidDel="00000000" w:rsidR="00000000" w:rsidRPr="00000000">
          <w:rPr>
            <w:u w:val="single"/>
            <w:rtl w:val="0"/>
          </w:rPr>
          <w:t xml:space="preserve">https://doi.org/10.1377/hlthaff.2018.05162</w:t>
        </w:r>
      </w:hyperlink>
      <w:r w:rsidDel="00000000" w:rsidR="00000000" w:rsidRPr="00000000">
        <w:rPr>
          <w:rtl w:val="0"/>
        </w:rPr>
      </w:r>
    </w:p>
    <w:p w:rsidR="00000000" w:rsidDel="00000000" w:rsidP="00000000" w:rsidRDefault="00000000" w:rsidRPr="00000000" w14:paraId="000001D5">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Nahra, T. A., Alexander, J., &amp; Pollack, H. (2009). Influence of ownership on access in outpatient substance abuse treatment. </w:t>
      </w:r>
      <w:r w:rsidDel="00000000" w:rsidR="00000000" w:rsidRPr="00000000">
        <w:rPr>
          <w:rFonts w:ascii="Times New Roman" w:cs="Times New Roman" w:eastAsia="Times New Roman" w:hAnsi="Times New Roman"/>
          <w:i w:val="1"/>
          <w:sz w:val="24"/>
          <w:szCs w:val="24"/>
          <w:rtl w:val="0"/>
        </w:rPr>
        <w:t xml:space="preserve">Journal of Substance Abuse Treatment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(4), 355–365.</w:t>
      </w:r>
      <w:hyperlink r:id="rId62">
        <w:r w:rsidDel="00000000" w:rsidR="00000000" w:rsidRPr="00000000">
          <w:rPr>
            <w:rFonts w:ascii="Times New Roman" w:cs="Times New Roman" w:eastAsia="Times New Roman" w:hAnsi="Times New Roman"/>
            <w:sz w:val="24"/>
            <w:szCs w:val="24"/>
            <w:rtl w:val="0"/>
          </w:rPr>
          <w:t xml:space="preserve"> </w:t>
        </w:r>
      </w:hyperlink>
      <w:hyperlink r:id="rId63">
        <w:r w:rsidDel="00000000" w:rsidR="00000000" w:rsidRPr="00000000">
          <w:rPr>
            <w:rFonts w:ascii="Times New Roman" w:cs="Times New Roman" w:eastAsia="Times New Roman" w:hAnsi="Times New Roman"/>
            <w:sz w:val="24"/>
            <w:szCs w:val="24"/>
            <w:u w:val="single"/>
            <w:rtl w:val="0"/>
          </w:rPr>
          <w:t xml:space="preserve">https://doi.org/10.1016/j.jsat.2008.06.009</w:t>
        </w:r>
      </w:hyperlink>
      <w:r w:rsidDel="00000000" w:rsidR="00000000" w:rsidRPr="00000000">
        <w:rPr>
          <w:rtl w:val="0"/>
        </w:rPr>
      </w:r>
    </w:p>
    <w:p w:rsidR="00000000" w:rsidDel="00000000" w:rsidP="00000000" w:rsidRDefault="00000000" w:rsidRPr="00000000" w14:paraId="000001D6">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Olmstead, T. A., &amp; Sindelar, J. L. (2005). Does the Impact of Managed Care on Substance Abuse Treatment Services Vary by Provider Profit Status? </w:t>
      </w:r>
      <w:r w:rsidDel="00000000" w:rsidR="00000000" w:rsidRPr="00000000">
        <w:rPr>
          <w:rFonts w:ascii="Times New Roman" w:cs="Times New Roman" w:eastAsia="Times New Roman" w:hAnsi="Times New Roman"/>
          <w:i w:val="1"/>
          <w:sz w:val="24"/>
          <w:szCs w:val="24"/>
          <w:rtl w:val="0"/>
        </w:rPr>
        <w:t xml:space="preserve">Health Services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(6p1), 1862–1882.</w:t>
      </w:r>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sz w:val="24"/>
            <w:szCs w:val="24"/>
            <w:u w:val="single"/>
            <w:rtl w:val="0"/>
          </w:rPr>
          <w:t xml:space="preserve">https://doi.org/10.1111/j.1475-6773.2005.00431.x</w:t>
        </w:r>
      </w:hyperlink>
      <w:r w:rsidDel="00000000" w:rsidR="00000000" w:rsidRPr="00000000">
        <w:rPr>
          <w:rtl w:val="0"/>
        </w:rPr>
      </w:r>
    </w:p>
    <w:p w:rsidR="00000000" w:rsidDel="00000000" w:rsidP="00000000" w:rsidRDefault="00000000" w:rsidRPr="00000000" w14:paraId="000001D7">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Opioid Data Analysis and Resources | Opioids | CDC</w:t>
      </w:r>
      <w:r w:rsidDel="00000000" w:rsidR="00000000" w:rsidRPr="00000000">
        <w:rPr>
          <w:rFonts w:ascii="Times New Roman" w:cs="Times New Roman" w:eastAsia="Times New Roman" w:hAnsi="Times New Roman"/>
          <w:sz w:val="24"/>
          <w:szCs w:val="24"/>
          <w:rtl w:val="0"/>
        </w:rPr>
        <w:t xml:space="preserve">. (2023, August 8).</w:t>
      </w:r>
      <w:hyperlink r:id="rId66">
        <w:r w:rsidDel="00000000" w:rsidR="00000000" w:rsidRPr="00000000">
          <w:rPr>
            <w:rFonts w:ascii="Times New Roman" w:cs="Times New Roman" w:eastAsia="Times New Roman" w:hAnsi="Times New Roman"/>
            <w:sz w:val="24"/>
            <w:szCs w:val="24"/>
            <w:rtl w:val="0"/>
          </w:rPr>
          <w:t xml:space="preserve"> </w:t>
        </w:r>
      </w:hyperlink>
      <w:hyperlink r:id="rId67">
        <w:r w:rsidDel="00000000" w:rsidR="00000000" w:rsidRPr="00000000">
          <w:rPr>
            <w:rFonts w:ascii="Times New Roman" w:cs="Times New Roman" w:eastAsia="Times New Roman" w:hAnsi="Times New Roman"/>
            <w:sz w:val="24"/>
            <w:szCs w:val="24"/>
            <w:u w:val="single"/>
            <w:rtl w:val="0"/>
          </w:rPr>
          <w:t xml:space="preserve">https://www.cdc.gov/opioids/data/analysis-resources.html</w:t>
        </w:r>
      </w:hyperlink>
      <w:r w:rsidDel="00000000" w:rsidR="00000000" w:rsidRPr="00000000">
        <w:rPr>
          <w:rtl w:val="0"/>
        </w:rPr>
      </w:r>
    </w:p>
    <w:p w:rsidR="00000000" w:rsidDel="00000000" w:rsidP="00000000" w:rsidRDefault="00000000" w:rsidRPr="00000000" w14:paraId="000001D8">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Pagano, A., Hosakote, S., Kapiteni, K., Straus, E. R., Wong, J., &amp; Guydish, J. R. (2021). Impacts of COVID-19 on residential treatment programs for substance use disorder. </w:t>
      </w:r>
      <w:r w:rsidDel="00000000" w:rsidR="00000000" w:rsidRPr="00000000">
        <w:rPr>
          <w:rFonts w:ascii="Times New Roman" w:cs="Times New Roman" w:eastAsia="Times New Roman" w:hAnsi="Times New Roman"/>
          <w:i w:val="1"/>
          <w:sz w:val="24"/>
          <w:szCs w:val="24"/>
          <w:rtl w:val="0"/>
        </w:rPr>
        <w:t xml:space="preserve">Journal of Substance Abuse Treatment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 108255.</w:t>
      </w:r>
      <w:hyperlink r:id="rId68">
        <w:r w:rsidDel="00000000" w:rsidR="00000000" w:rsidRPr="00000000">
          <w:rPr>
            <w:rFonts w:ascii="Times New Roman" w:cs="Times New Roman" w:eastAsia="Times New Roman" w:hAnsi="Times New Roman"/>
            <w:sz w:val="24"/>
            <w:szCs w:val="24"/>
            <w:rtl w:val="0"/>
          </w:rPr>
          <w:t xml:space="preserve"> </w:t>
        </w:r>
      </w:hyperlink>
      <w:hyperlink r:id="rId69">
        <w:r w:rsidDel="00000000" w:rsidR="00000000" w:rsidRPr="00000000">
          <w:rPr>
            <w:rFonts w:ascii="Times New Roman" w:cs="Times New Roman" w:eastAsia="Times New Roman" w:hAnsi="Times New Roman"/>
            <w:sz w:val="24"/>
            <w:szCs w:val="24"/>
            <w:u w:val="single"/>
            <w:rtl w:val="0"/>
          </w:rPr>
          <w:t xml:space="preserve">https://doi.org/10.1016/j.jsat.2020.108255</w:t>
        </w:r>
      </w:hyperlink>
      <w:r w:rsidDel="00000000" w:rsidR="00000000" w:rsidRPr="00000000">
        <w:rPr>
          <w:rtl w:val="0"/>
        </w:rPr>
      </w:r>
    </w:p>
    <w:p w:rsidR="00000000" w:rsidDel="00000000" w:rsidP="00000000" w:rsidRDefault="00000000" w:rsidRPr="00000000" w14:paraId="000001D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Peterson, C., Li, M., Xu, L., Mikosz, C. A., &amp; Luo, F. (2021). Assessment of Annual Cost of Substance Use Disorder in US Hospitals. </w:t>
      </w:r>
      <w:r w:rsidDel="00000000" w:rsidR="00000000" w:rsidRPr="00000000">
        <w:rPr>
          <w:rFonts w:ascii="Times New Roman" w:cs="Times New Roman" w:eastAsia="Times New Roman" w:hAnsi="Times New Roman"/>
          <w:i w:val="1"/>
          <w:sz w:val="24"/>
          <w:szCs w:val="24"/>
          <w:rtl w:val="0"/>
        </w:rPr>
        <w:t xml:space="preserve">JAMA Network 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(3), e210242.</w:t>
      </w:r>
      <w:hyperlink r:id="rId70">
        <w:r w:rsidDel="00000000" w:rsidR="00000000" w:rsidRPr="00000000">
          <w:rPr>
            <w:rFonts w:ascii="Times New Roman" w:cs="Times New Roman" w:eastAsia="Times New Roman" w:hAnsi="Times New Roman"/>
            <w:sz w:val="24"/>
            <w:szCs w:val="24"/>
            <w:rtl w:val="0"/>
          </w:rPr>
          <w:t xml:space="preserve"> </w:t>
        </w:r>
      </w:hyperlink>
      <w:hyperlink r:id="rId71">
        <w:r w:rsidDel="00000000" w:rsidR="00000000" w:rsidRPr="00000000">
          <w:rPr>
            <w:rFonts w:ascii="Times New Roman" w:cs="Times New Roman" w:eastAsia="Times New Roman" w:hAnsi="Times New Roman"/>
            <w:sz w:val="24"/>
            <w:szCs w:val="24"/>
            <w:u w:val="single"/>
            <w:rtl w:val="0"/>
          </w:rPr>
          <w:t xml:space="preserve">https://doi.org/10.1001/jamanetworkopen.2021.0242</w:t>
        </w:r>
      </w:hyperlink>
      <w:r w:rsidDel="00000000" w:rsidR="00000000" w:rsidRPr="00000000">
        <w:rPr>
          <w:rtl w:val="0"/>
        </w:rPr>
      </w:r>
    </w:p>
    <w:p w:rsidR="00000000" w:rsidDel="00000000" w:rsidP="00000000" w:rsidRDefault="00000000" w:rsidRPr="00000000" w14:paraId="000001DA">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(2023). _R: A Language and Environment for Statistical Computing_. R Foundation for Statistical Computing, Vienna, Austria. &lt;</w:t>
      </w:r>
      <w:hyperlink r:id="rId72">
        <w:r w:rsidDel="00000000" w:rsidR="00000000" w:rsidRPr="00000000">
          <w:rPr>
            <w:rFonts w:ascii="Times New Roman" w:cs="Times New Roman" w:eastAsia="Times New Roman" w:hAnsi="Times New Roman"/>
            <w:sz w:val="24"/>
            <w:szCs w:val="24"/>
            <w:u w:val="single"/>
            <w:rtl w:val="0"/>
          </w:rPr>
          <w:t xml:space="preserve">https://www.R-project.org/</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DB">
      <w:pPr>
        <w:numPr>
          <w:ilvl w:val="0"/>
          <w:numId w:val="1"/>
        </w:numPr>
        <w:spacing w:after="0" w:afterAutospacing="0"/>
        <w:ind w:left="720" w:hanging="360"/>
      </w:pPr>
      <w:r w:rsidDel="00000000" w:rsidR="00000000" w:rsidRPr="00000000">
        <w:rPr>
          <w:rtl w:val="0"/>
        </w:rPr>
        <w:t xml:space="preserve">StataCorp. 2023. Stata Statistical Software: Release 18. College Station, TX: StataCorp LLC.</w:t>
      </w:r>
    </w:p>
    <w:p w:rsidR="00000000" w:rsidDel="00000000" w:rsidP="00000000" w:rsidRDefault="00000000" w:rsidRPr="00000000" w14:paraId="000001DC">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Rayasam, R., &amp; Farmer, B. (2023, January 30). </w:t>
      </w:r>
      <w:r w:rsidDel="00000000" w:rsidR="00000000" w:rsidRPr="00000000">
        <w:rPr>
          <w:rFonts w:ascii="Times New Roman" w:cs="Times New Roman" w:eastAsia="Times New Roman" w:hAnsi="Times New Roman"/>
          <w:i w:val="1"/>
          <w:sz w:val="24"/>
          <w:szCs w:val="24"/>
          <w:rtl w:val="0"/>
        </w:rPr>
        <w:t xml:space="preserve">Some addiction treatment centers turn big profits by scaling back care—CBS News</w:t>
      </w:r>
      <w:r w:rsidDel="00000000" w:rsidR="00000000" w:rsidRPr="00000000">
        <w:rPr>
          <w:rFonts w:ascii="Times New Roman" w:cs="Times New Roman" w:eastAsia="Times New Roman" w:hAnsi="Times New Roman"/>
          <w:sz w:val="24"/>
          <w:szCs w:val="24"/>
          <w:rtl w:val="0"/>
        </w:rPr>
        <w:t xml:space="preserve">.</w:t>
      </w:r>
      <w:hyperlink r:id="rId73">
        <w:r w:rsidDel="00000000" w:rsidR="00000000" w:rsidRPr="00000000">
          <w:rPr>
            <w:rFonts w:ascii="Times New Roman" w:cs="Times New Roman" w:eastAsia="Times New Roman" w:hAnsi="Times New Roman"/>
            <w:sz w:val="24"/>
            <w:szCs w:val="24"/>
            <w:rtl w:val="0"/>
          </w:rPr>
          <w:t xml:space="preserve"> </w:t>
        </w:r>
      </w:hyperlink>
      <w:hyperlink r:id="rId74">
        <w:r w:rsidDel="00000000" w:rsidR="00000000" w:rsidRPr="00000000">
          <w:rPr>
            <w:rFonts w:ascii="Times New Roman" w:cs="Times New Roman" w:eastAsia="Times New Roman" w:hAnsi="Times New Roman"/>
            <w:sz w:val="24"/>
            <w:szCs w:val="24"/>
            <w:u w:val="single"/>
            <w:rtl w:val="0"/>
          </w:rPr>
          <w:t xml:space="preserve">https://www.cbsnews.com/news/drug-treatment-rehab-private-equity-profits/</w:t>
        </w:r>
      </w:hyperlink>
      <w:r w:rsidDel="00000000" w:rsidR="00000000" w:rsidRPr="00000000">
        <w:rPr>
          <w:rtl w:val="0"/>
        </w:rPr>
      </w:r>
    </w:p>
    <w:p w:rsidR="00000000" w:rsidDel="00000000" w:rsidP="00000000" w:rsidRDefault="00000000" w:rsidRPr="00000000" w14:paraId="000001D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Rehab Riviera: An investigation into how and why California has become a hub for rehabs, drug treatment centers and sober-living homes.</w:t>
      </w:r>
      <w:r w:rsidDel="00000000" w:rsidR="00000000" w:rsidRPr="00000000">
        <w:rPr>
          <w:rFonts w:ascii="Times New Roman" w:cs="Times New Roman" w:eastAsia="Times New Roman" w:hAnsi="Times New Roman"/>
          <w:sz w:val="24"/>
          <w:szCs w:val="24"/>
          <w:rtl w:val="0"/>
        </w:rPr>
        <w:t xml:space="preserve"> (n.d.). Retrieved April 10, 2024, from</w:t>
      </w:r>
      <w:hyperlink r:id="rId75">
        <w:r w:rsidDel="00000000" w:rsidR="00000000" w:rsidRPr="00000000">
          <w:rPr>
            <w:rFonts w:ascii="Times New Roman" w:cs="Times New Roman" w:eastAsia="Times New Roman" w:hAnsi="Times New Roman"/>
            <w:sz w:val="24"/>
            <w:szCs w:val="24"/>
            <w:rtl w:val="0"/>
          </w:rPr>
          <w:t xml:space="preserve"> </w:t>
        </w:r>
      </w:hyperlink>
      <w:hyperlink r:id="rId76">
        <w:r w:rsidDel="00000000" w:rsidR="00000000" w:rsidRPr="00000000">
          <w:rPr>
            <w:rFonts w:ascii="Times New Roman" w:cs="Times New Roman" w:eastAsia="Times New Roman" w:hAnsi="Times New Roman"/>
            <w:sz w:val="24"/>
            <w:szCs w:val="24"/>
            <w:u w:val="single"/>
            <w:rtl w:val="0"/>
          </w:rPr>
          <w:t xml:space="preserve">https://www.ocregister.com/rehab-riviera/</w:t>
        </w:r>
      </w:hyperlink>
      <w:r w:rsidDel="00000000" w:rsidR="00000000" w:rsidRPr="00000000">
        <w:rPr>
          <w:rtl w:val="0"/>
        </w:rPr>
      </w:r>
    </w:p>
    <w:p w:rsidR="00000000" w:rsidDel="00000000" w:rsidP="00000000" w:rsidRDefault="00000000" w:rsidRPr="00000000" w14:paraId="000001DE">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Saloner, B., Akosa Antwi, Y., Maclean, J. C., &amp; Cook, B. (2018). Access to Health Insurance and Utilization of Substance Use Disorder Treatment: Evidence from the Affordable Care Act Dependent Coverage Provision. </w:t>
      </w:r>
      <w:r w:rsidDel="00000000" w:rsidR="00000000" w:rsidRPr="00000000">
        <w:rPr>
          <w:rFonts w:ascii="Times New Roman" w:cs="Times New Roman" w:eastAsia="Times New Roman" w:hAnsi="Times New Roman"/>
          <w:i w:val="1"/>
          <w:sz w:val="24"/>
          <w:szCs w:val="24"/>
          <w:rtl w:val="0"/>
        </w:rPr>
        <w:t xml:space="preserve">Health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(1), 50–75.</w:t>
      </w:r>
      <w:hyperlink r:id="rId77">
        <w:r w:rsidDel="00000000" w:rsidR="00000000" w:rsidRPr="00000000">
          <w:rPr>
            <w:rFonts w:ascii="Times New Roman" w:cs="Times New Roman" w:eastAsia="Times New Roman" w:hAnsi="Times New Roman"/>
            <w:sz w:val="24"/>
            <w:szCs w:val="24"/>
            <w:rtl w:val="0"/>
          </w:rPr>
          <w:t xml:space="preserve"> </w:t>
        </w:r>
      </w:hyperlink>
      <w:hyperlink r:id="rId78">
        <w:r w:rsidDel="00000000" w:rsidR="00000000" w:rsidRPr="00000000">
          <w:rPr>
            <w:rFonts w:ascii="Times New Roman" w:cs="Times New Roman" w:eastAsia="Times New Roman" w:hAnsi="Times New Roman"/>
            <w:sz w:val="24"/>
            <w:szCs w:val="24"/>
            <w:u w:val="single"/>
            <w:rtl w:val="0"/>
          </w:rPr>
          <w:t xml:space="preserve">https://doi.org/10.1002/hec.3482</w:t>
        </w:r>
      </w:hyperlink>
      <w:r w:rsidDel="00000000" w:rsidR="00000000" w:rsidRPr="00000000">
        <w:rPr>
          <w:rtl w:val="0"/>
        </w:rPr>
      </w:r>
    </w:p>
    <w:p w:rsidR="00000000" w:rsidDel="00000000" w:rsidP="00000000" w:rsidRDefault="00000000" w:rsidRPr="00000000" w14:paraId="000001DF">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Shields, M. C., Stewart, M. T., &amp; Delaney, K. R. (2018). Patient Safety In Inpatient Psychiatry: A Remaining Frontier For Health Policy. </w:t>
      </w:r>
      <w:r w:rsidDel="00000000" w:rsidR="00000000" w:rsidRPr="00000000">
        <w:rPr>
          <w:rFonts w:ascii="Times New Roman" w:cs="Times New Roman" w:eastAsia="Times New Roman" w:hAnsi="Times New Roman"/>
          <w:i w:val="1"/>
          <w:sz w:val="24"/>
          <w:szCs w:val="24"/>
          <w:rtl w:val="0"/>
        </w:rPr>
        <w:t xml:space="preserve">Health Affairs (Project Hope)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(11), 1853–1861.</w:t>
      </w:r>
      <w:hyperlink r:id="rId79">
        <w:r w:rsidDel="00000000" w:rsidR="00000000" w:rsidRPr="00000000">
          <w:rPr>
            <w:rFonts w:ascii="Times New Roman" w:cs="Times New Roman" w:eastAsia="Times New Roman" w:hAnsi="Times New Roman"/>
            <w:sz w:val="24"/>
            <w:szCs w:val="24"/>
            <w:rtl w:val="0"/>
          </w:rPr>
          <w:t xml:space="preserve"> </w:t>
        </w:r>
      </w:hyperlink>
      <w:hyperlink r:id="rId80">
        <w:r w:rsidDel="00000000" w:rsidR="00000000" w:rsidRPr="00000000">
          <w:rPr>
            <w:rFonts w:ascii="Times New Roman" w:cs="Times New Roman" w:eastAsia="Times New Roman" w:hAnsi="Times New Roman"/>
            <w:sz w:val="24"/>
            <w:szCs w:val="24"/>
            <w:u w:val="single"/>
            <w:rtl w:val="0"/>
          </w:rPr>
          <w:t xml:space="preserve">https://doi.org/10.1377/hlthaff.2018.0718</w:t>
        </w:r>
      </w:hyperlink>
      <w:r w:rsidDel="00000000" w:rsidR="00000000" w:rsidRPr="00000000">
        <w:rPr>
          <w:rtl w:val="0"/>
        </w:rPr>
      </w:r>
    </w:p>
    <w:p w:rsidR="00000000" w:rsidDel="00000000" w:rsidP="00000000" w:rsidRDefault="00000000" w:rsidRPr="00000000" w14:paraId="000001E0">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National Survey of Substance Abuse Treatment Services (N-SSATS): 2019. Data on Substance Abuse Treatment Facilities. Rockville, MD: Substance Abuse and Mental Health Services Administration, 2020.</w:t>
      </w:r>
    </w:p>
    <w:p w:rsidR="00000000" w:rsidDel="00000000" w:rsidP="00000000" w:rsidRDefault="00000000" w:rsidRPr="00000000" w14:paraId="000001E1">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Substance Abuse Prevention Dollars and Cents: A Cost-Benefit Analysis: (569922009-001)</w:t>
      </w:r>
      <w:r w:rsidDel="00000000" w:rsidR="00000000" w:rsidRPr="00000000">
        <w:rPr>
          <w:rFonts w:ascii="Times New Roman" w:cs="Times New Roman" w:eastAsia="Times New Roman" w:hAnsi="Times New Roman"/>
          <w:sz w:val="24"/>
          <w:szCs w:val="24"/>
          <w:rtl w:val="0"/>
        </w:rPr>
        <w:t xml:space="preserve">. SAMHSA. (2009a). [dataset].</w:t>
      </w:r>
      <w:hyperlink r:id="rId81">
        <w:r w:rsidDel="00000000" w:rsidR="00000000" w:rsidRPr="00000000">
          <w:rPr>
            <w:rFonts w:ascii="Times New Roman" w:cs="Times New Roman" w:eastAsia="Times New Roman" w:hAnsi="Times New Roman"/>
            <w:sz w:val="24"/>
            <w:szCs w:val="24"/>
            <w:rtl w:val="0"/>
          </w:rPr>
          <w:t xml:space="preserve"> </w:t>
        </w:r>
      </w:hyperlink>
      <w:hyperlink r:id="rId82">
        <w:r w:rsidDel="00000000" w:rsidR="00000000" w:rsidRPr="00000000">
          <w:rPr>
            <w:rFonts w:ascii="Times New Roman" w:cs="Times New Roman" w:eastAsia="Times New Roman" w:hAnsi="Times New Roman"/>
            <w:sz w:val="24"/>
            <w:szCs w:val="24"/>
            <w:u w:val="single"/>
            <w:rtl w:val="0"/>
          </w:rPr>
          <w:t xml:space="preserve">https://doi.org/10.1037/e569922009-001</w:t>
        </w:r>
      </w:hyperlink>
      <w:r w:rsidDel="00000000" w:rsidR="00000000" w:rsidRPr="00000000">
        <w:rPr>
          <w:rtl w:val="0"/>
        </w:rPr>
      </w:r>
    </w:p>
    <w:p w:rsidR="00000000" w:rsidDel="00000000" w:rsidP="00000000" w:rsidRDefault="00000000" w:rsidRPr="00000000" w14:paraId="000001E2">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Summary and Impact Analysis of State Laws Addressing Predatory and Unethical Substance Use Disorder Treatment Practices</w:t>
      </w:r>
      <w:r w:rsidDel="00000000" w:rsidR="00000000" w:rsidRPr="00000000">
        <w:rPr>
          <w:rFonts w:ascii="Times New Roman" w:cs="Times New Roman" w:eastAsia="Times New Roman" w:hAnsi="Times New Roman"/>
          <w:sz w:val="24"/>
          <w:szCs w:val="24"/>
          <w:rtl w:val="0"/>
        </w:rPr>
        <w:t xml:space="preserve">. National Alliance for Model State Drug Laws. (2019).</w:t>
      </w:r>
    </w:p>
    <w:p w:rsidR="00000000" w:rsidDel="00000000" w:rsidP="00000000" w:rsidRDefault="00000000" w:rsidRPr="00000000" w14:paraId="000001E3">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Sustaining Investment in Brain Health: The Dangers of Information Asymmetry</w:t>
      </w:r>
      <w:r w:rsidDel="00000000" w:rsidR="00000000" w:rsidRPr="00000000">
        <w:rPr>
          <w:rFonts w:ascii="Times New Roman" w:cs="Times New Roman" w:eastAsia="Times New Roman" w:hAnsi="Times New Roman"/>
          <w:sz w:val="24"/>
          <w:szCs w:val="24"/>
          <w:rtl w:val="0"/>
        </w:rPr>
        <w:t xml:space="preserve">. (2021, October 12). Psychiatric Times.</w:t>
      </w:r>
      <w:hyperlink r:id="rId83">
        <w:r w:rsidDel="00000000" w:rsidR="00000000" w:rsidRPr="00000000">
          <w:rPr>
            <w:rFonts w:ascii="Times New Roman" w:cs="Times New Roman" w:eastAsia="Times New Roman" w:hAnsi="Times New Roman"/>
            <w:sz w:val="24"/>
            <w:szCs w:val="24"/>
            <w:rtl w:val="0"/>
          </w:rPr>
          <w:t xml:space="preserve"> </w:t>
        </w:r>
      </w:hyperlink>
      <w:hyperlink r:id="rId84">
        <w:r w:rsidDel="00000000" w:rsidR="00000000" w:rsidRPr="00000000">
          <w:rPr>
            <w:rFonts w:ascii="Times New Roman" w:cs="Times New Roman" w:eastAsia="Times New Roman" w:hAnsi="Times New Roman"/>
            <w:sz w:val="24"/>
            <w:szCs w:val="24"/>
            <w:u w:val="single"/>
            <w:rtl w:val="0"/>
          </w:rPr>
          <w:t xml:space="preserve">https://www.psychiatrictimes.com/view/sustaining-investment-in-brain-health-the-dangers-of-information-asymmetry</w:t>
        </w:r>
      </w:hyperlink>
      <w:r w:rsidDel="00000000" w:rsidR="00000000" w:rsidRPr="00000000">
        <w:rPr>
          <w:rtl w:val="0"/>
        </w:rPr>
      </w:r>
    </w:p>
    <w:p w:rsidR="00000000" w:rsidDel="00000000" w:rsidP="00000000" w:rsidRDefault="00000000" w:rsidRPr="00000000" w14:paraId="000001E4">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Tomko, C., Olfson, M., &amp; Mojtabai, R. (2022). Gaps and barriers in drug and alcohol treatment following implementation of the affordable care act. </w:t>
      </w:r>
      <w:r w:rsidDel="00000000" w:rsidR="00000000" w:rsidRPr="00000000">
        <w:rPr>
          <w:rFonts w:ascii="Times New Roman" w:cs="Times New Roman" w:eastAsia="Times New Roman" w:hAnsi="Times New Roman"/>
          <w:i w:val="1"/>
          <w:sz w:val="24"/>
          <w:szCs w:val="24"/>
          <w:rtl w:val="0"/>
        </w:rPr>
        <w:t xml:space="preserve">Drug and Alcohol Dependence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100115.</w:t>
      </w:r>
      <w:hyperlink r:id="rId85">
        <w:r w:rsidDel="00000000" w:rsidR="00000000" w:rsidRPr="00000000">
          <w:rPr>
            <w:rFonts w:ascii="Times New Roman" w:cs="Times New Roman" w:eastAsia="Times New Roman" w:hAnsi="Times New Roman"/>
            <w:sz w:val="24"/>
            <w:szCs w:val="24"/>
            <w:rtl w:val="0"/>
          </w:rPr>
          <w:t xml:space="preserve"> </w:t>
        </w:r>
      </w:hyperlink>
      <w:hyperlink r:id="rId86">
        <w:r w:rsidDel="00000000" w:rsidR="00000000" w:rsidRPr="00000000">
          <w:rPr>
            <w:rFonts w:ascii="Times New Roman" w:cs="Times New Roman" w:eastAsia="Times New Roman" w:hAnsi="Times New Roman"/>
            <w:sz w:val="24"/>
            <w:szCs w:val="24"/>
            <w:u w:val="single"/>
            <w:rtl w:val="0"/>
          </w:rPr>
          <w:t xml:space="preserve">https://doi.org/10.1016/j.dadr.2022.100115</w:t>
        </w:r>
      </w:hyperlink>
      <w:r w:rsidDel="00000000" w:rsidR="00000000" w:rsidRPr="00000000">
        <w:rPr>
          <w:rtl w:val="0"/>
        </w:rPr>
      </w:r>
    </w:p>
    <w:p w:rsidR="00000000" w:rsidDel="00000000" w:rsidP="00000000" w:rsidRDefault="00000000" w:rsidRPr="00000000" w14:paraId="000001E5">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H., Cummings, J. R., Hockenberry, J. M., Gaydos, L. M., &amp; Druss, B. G. (2013). State Parity Laws and Access to Treatment for Substance Use Disorder in the United States: Implications for Federal Parity Legislation. JAMA Psychiatry, 70(12), 1355. </w:t>
      </w:r>
      <w:hyperlink r:id="rId87">
        <w:r w:rsidDel="00000000" w:rsidR="00000000" w:rsidRPr="00000000">
          <w:rPr>
            <w:rFonts w:ascii="Times New Roman" w:cs="Times New Roman" w:eastAsia="Times New Roman" w:hAnsi="Times New Roman"/>
            <w:sz w:val="24"/>
            <w:szCs w:val="24"/>
            <w:u w:val="single"/>
            <w:rtl w:val="0"/>
          </w:rPr>
          <w:t xml:space="preserve">https://doi.org/10.1001/jamapsychiatry.2013.2169</w:t>
        </w:r>
      </w:hyperlink>
      <w:r w:rsidDel="00000000" w:rsidR="00000000" w:rsidRPr="00000000">
        <w:rPr>
          <w:rtl w:val="0"/>
        </w:rPr>
      </w:r>
    </w:p>
    <w:p w:rsidR="00000000" w:rsidDel="00000000" w:rsidP="00000000" w:rsidRDefault="00000000" w:rsidRPr="00000000" w14:paraId="000001E6">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Guerrero, E. G., Aarons, G., Grella, C., Garner, B. R., Cook, B., &amp; Vega, W. A. (2016). Program Capacity to Eliminate Outcome Disparities in Addiction Health Services. </w:t>
      </w:r>
      <w:r w:rsidDel="00000000" w:rsidR="00000000" w:rsidRPr="00000000">
        <w:rPr>
          <w:rFonts w:ascii="Times New Roman" w:cs="Times New Roman" w:eastAsia="Times New Roman" w:hAnsi="Times New Roman"/>
          <w:i w:val="1"/>
          <w:sz w:val="24"/>
          <w:szCs w:val="24"/>
          <w:rtl w:val="0"/>
        </w:rPr>
        <w:t xml:space="preserve">Administration and Policy in Mental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(1), 23–35.</w:t>
      </w:r>
      <w:hyperlink r:id="rId88">
        <w:r w:rsidDel="00000000" w:rsidR="00000000" w:rsidRPr="00000000">
          <w:rPr>
            <w:rFonts w:ascii="Times New Roman" w:cs="Times New Roman" w:eastAsia="Times New Roman" w:hAnsi="Times New Roman"/>
            <w:sz w:val="24"/>
            <w:szCs w:val="24"/>
            <w:rtl w:val="0"/>
          </w:rPr>
          <w:t xml:space="preserve"> </w:t>
        </w:r>
      </w:hyperlink>
      <w:hyperlink r:id="rId89">
        <w:r w:rsidDel="00000000" w:rsidR="00000000" w:rsidRPr="00000000">
          <w:rPr>
            <w:rFonts w:ascii="Times New Roman" w:cs="Times New Roman" w:eastAsia="Times New Roman" w:hAnsi="Times New Roman"/>
            <w:sz w:val="24"/>
            <w:szCs w:val="24"/>
            <w:u w:val="single"/>
            <w:rtl w:val="0"/>
          </w:rPr>
          <w:t xml:space="preserve">https://doi.org/10.1007/s10488-014-0617-6</w:t>
        </w:r>
      </w:hyperlink>
      <w:r w:rsidDel="00000000" w:rsidR="00000000" w:rsidRPr="00000000">
        <w:rPr>
          <w:rtl w:val="0"/>
        </w:rPr>
      </w:r>
    </w:p>
    <w:p w:rsidR="00000000" w:rsidDel="00000000" w:rsidP="00000000" w:rsidRDefault="00000000" w:rsidRPr="00000000" w14:paraId="000001E7">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0"/>
          <w:szCs w:val="20"/>
          <w:highlight w:val="white"/>
          <w:rtl w:val="0"/>
        </w:rPr>
        <w:t xml:space="preserve">Greene, W. (2008). Functional forms for the negative binomial model for count data. </w:t>
      </w:r>
      <w:r w:rsidDel="00000000" w:rsidR="00000000" w:rsidRPr="00000000">
        <w:rPr>
          <w:rFonts w:ascii="Arial" w:cs="Arial" w:eastAsia="Arial" w:hAnsi="Arial"/>
          <w:i w:val="1"/>
          <w:sz w:val="20"/>
          <w:szCs w:val="20"/>
          <w:highlight w:val="white"/>
          <w:rtl w:val="0"/>
        </w:rPr>
        <w:t xml:space="preserve">Economics Letters</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i w:val="1"/>
          <w:sz w:val="20"/>
          <w:szCs w:val="20"/>
          <w:highlight w:val="white"/>
          <w:rtl w:val="0"/>
        </w:rPr>
        <w:t xml:space="preserve">99</w:t>
      </w:r>
      <w:r w:rsidDel="00000000" w:rsidR="00000000" w:rsidRPr="00000000">
        <w:rPr>
          <w:rFonts w:ascii="Arial" w:cs="Arial" w:eastAsia="Arial" w:hAnsi="Arial"/>
          <w:sz w:val="20"/>
          <w:szCs w:val="20"/>
          <w:highlight w:val="white"/>
          <w:rtl w:val="0"/>
        </w:rPr>
        <w:t xml:space="preserve">(3), 585-590</w:t>
      </w:r>
      <w:r w:rsidDel="00000000" w:rsidR="00000000" w:rsidRPr="00000000">
        <w:rPr>
          <w:rFonts w:ascii="Times New Roman" w:cs="Times New Roman" w:eastAsia="Times New Roman" w:hAnsi="Times New Roman"/>
          <w:sz w:val="24"/>
          <w:szCs w:val="24"/>
          <w:rtl w:val="0"/>
        </w:rPr>
        <w:t xml:space="preserve">. </w:t>
      </w:r>
      <w:hyperlink r:id="rId90">
        <w:r w:rsidDel="00000000" w:rsidR="00000000" w:rsidRPr="00000000">
          <w:rPr>
            <w:u w:val="single"/>
            <w:rtl w:val="0"/>
          </w:rPr>
          <w:t xml:space="preserve">https://doi.org/10.1016/j.econlet.2007.10.015</w:t>
        </w:r>
      </w:hyperlink>
      <w:r w:rsidDel="00000000" w:rsidR="00000000" w:rsidRPr="00000000">
        <w:rPr>
          <w:rtl w:val="0"/>
        </w:rPr>
      </w:r>
    </w:p>
    <w:p w:rsidR="00000000" w:rsidDel="00000000" w:rsidP="00000000" w:rsidRDefault="00000000" w:rsidRPr="00000000" w14:paraId="000001E8">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Salman, A. K., Zampatti, D., &amp; Shukur, G. (2013). Macroeconomic Determinants, Innovation and the Birth of New Firms: Negative Binomial Regression Approach : Negative Binomial Regression Approach. </w:t>
      </w:r>
      <w:r w:rsidDel="00000000" w:rsidR="00000000" w:rsidRPr="00000000">
        <w:rPr>
          <w:rFonts w:ascii="Times New Roman" w:cs="Times New Roman" w:eastAsia="Times New Roman" w:hAnsi="Times New Roman"/>
          <w:i w:val="1"/>
          <w:sz w:val="24"/>
          <w:szCs w:val="24"/>
          <w:rtl w:val="0"/>
        </w:rPr>
        <w:t xml:space="preserve">International Journal of Economics and Finance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(11), 72–81.</w:t>
      </w:r>
      <w:r w:rsidDel="00000000" w:rsidR="00000000" w:rsidRPr="00000000">
        <w:rPr>
          <w:rFonts w:ascii="Times New Roman" w:cs="Times New Roman" w:eastAsia="Times New Roman" w:hAnsi="Times New Roman"/>
          <w:sz w:val="24"/>
          <w:szCs w:val="24"/>
          <w:rtl w:val="0"/>
        </w:rPr>
        <w:t xml:space="preserve"> </w:t>
      </w:r>
      <w:hyperlink r:id="rId91">
        <w:r w:rsidDel="00000000" w:rsidR="00000000" w:rsidRPr="00000000">
          <w:rPr>
            <w:rFonts w:ascii="Times New Roman" w:cs="Times New Roman" w:eastAsia="Times New Roman" w:hAnsi="Times New Roman"/>
            <w:sz w:val="24"/>
            <w:szCs w:val="24"/>
            <w:u w:val="single"/>
            <w:rtl w:val="0"/>
          </w:rPr>
          <w:t xml:space="preserve">https://doi.org/10.5539/ijef.v5n11p72</w:t>
        </w:r>
      </w:hyperlink>
      <w:r w:rsidDel="00000000" w:rsidR="00000000" w:rsidRPr="00000000">
        <w:rPr>
          <w:rtl w:val="0"/>
        </w:rPr>
      </w:r>
    </w:p>
    <w:p w:rsidR="00000000" w:rsidDel="00000000" w:rsidP="00000000" w:rsidRDefault="00000000" w:rsidRPr="00000000" w14:paraId="000001E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Sjoberg DD, Whiting K, Curry M, Lavery JA, Larmarange J. Reproducible summary tables with the gtsummary package. The R Journal 2021;13:570–80.</w:t>
      </w:r>
      <w:r w:rsidDel="00000000" w:rsidR="00000000" w:rsidRPr="00000000">
        <w:rPr>
          <w:rFonts w:ascii="Times New Roman" w:cs="Times New Roman" w:eastAsia="Times New Roman" w:hAnsi="Times New Roman"/>
          <w:sz w:val="24"/>
          <w:szCs w:val="24"/>
          <w:rtl w:val="0"/>
        </w:rPr>
        <w:t xml:space="preserve"> </w:t>
      </w:r>
      <w:hyperlink r:id="rId92">
        <w:r w:rsidDel="00000000" w:rsidR="00000000" w:rsidRPr="00000000">
          <w:rPr>
            <w:rFonts w:ascii="Times New Roman" w:cs="Times New Roman" w:eastAsia="Times New Roman" w:hAnsi="Times New Roman"/>
            <w:sz w:val="24"/>
            <w:szCs w:val="24"/>
            <w:u w:val="single"/>
            <w:rtl w:val="0"/>
          </w:rPr>
          <w:t xml:space="preserve">https://doi.org/10.32614/RJ-2021-053</w:t>
        </w:r>
      </w:hyperlink>
      <w:r w:rsidDel="00000000" w:rsidR="00000000" w:rsidRPr="00000000">
        <w:rPr>
          <w:rtl w:val="0"/>
        </w:rPr>
      </w:r>
    </w:p>
    <w:p w:rsidR="00000000" w:rsidDel="00000000" w:rsidP="00000000" w:rsidRDefault="00000000" w:rsidRPr="00000000" w14:paraId="000001EA">
      <w:pPr>
        <w:numPr>
          <w:ilvl w:val="0"/>
          <w:numId w:val="1"/>
        </w:numPr>
        <w:spacing w:after="0" w:afterAutospacing="0" w:line="480" w:lineRule="auto"/>
        <w:ind w:left="720" w:hanging="360"/>
        <w:rPr/>
      </w:pPr>
      <w:hyperlink r:id="rId93">
        <w:r w:rsidDel="00000000" w:rsidR="00000000" w:rsidRPr="00000000">
          <w:rPr>
            <w:u w:val="single"/>
            <w:rtl w:val="0"/>
          </w:rPr>
          <w:t xml:space="preserve">KFF's State Health Facts</w:t>
        </w:r>
      </w:hyperlink>
      <w:r w:rsidDel="00000000" w:rsidR="00000000" w:rsidRPr="00000000">
        <w:rPr>
          <w:rtl w:val="0"/>
        </w:rPr>
        <w:t xml:space="preserve">. Data Source: American Community Survey 1 Year Estimates, </w:t>
      </w:r>
      <w:hyperlink r:id="rId94">
        <w:r w:rsidDel="00000000" w:rsidR="00000000" w:rsidRPr="00000000">
          <w:rPr>
            <w:u w:val="single"/>
            <w:rtl w:val="0"/>
          </w:rPr>
          <w:t xml:space="preserve">Health Insurance Coverage of the Total Population</w:t>
        </w:r>
      </w:hyperlink>
      <w:r w:rsidDel="00000000" w:rsidR="00000000" w:rsidRPr="00000000">
        <w:rPr>
          <w:rtl w:val="0"/>
        </w:rPr>
        <w:t xml:space="preserve">: Data for 2015-2019, July 20, 2024.</w:t>
      </w:r>
    </w:p>
    <w:p w:rsidR="00000000" w:rsidDel="00000000" w:rsidP="00000000" w:rsidRDefault="00000000" w:rsidRPr="00000000" w14:paraId="000001EB">
      <w:pPr>
        <w:numPr>
          <w:ilvl w:val="0"/>
          <w:numId w:val="1"/>
        </w:numPr>
        <w:spacing w:after="0" w:afterAutospacing="0" w:line="480" w:lineRule="auto"/>
        <w:ind w:left="720" w:hanging="360"/>
        <w:rPr/>
      </w:pPr>
      <w:commentRangeStart w:id="15"/>
      <w:commentRangeStart w:id="16"/>
      <w:r w:rsidDel="00000000" w:rsidR="00000000" w:rsidRPr="00000000">
        <w:rPr>
          <w:rtl w:val="0"/>
        </w:rPr>
        <w:t xml:space="preserve">U.S. Bureau of Labor Statistics, Unemployment Rate in each state [LAUST540000000000003A], retrieved from FRED, Federal Reserve Bank of St. Louis; https://fred.stlouisfed.org/series/LAUST540000000000003A, July 25, 2024.</w:t>
      </w:r>
    </w:p>
    <w:p w:rsidR="00000000" w:rsidDel="00000000" w:rsidP="00000000" w:rsidRDefault="00000000" w:rsidRPr="00000000" w14:paraId="000001EC">
      <w:pPr>
        <w:numPr>
          <w:ilvl w:val="0"/>
          <w:numId w:val="1"/>
        </w:numPr>
        <w:spacing w:after="0" w:afterAutospacing="0" w:line="480" w:lineRule="auto"/>
        <w:ind w:left="720" w:hanging="360"/>
        <w:rPr/>
      </w:pPr>
      <w:r w:rsidDel="00000000" w:rsidR="00000000" w:rsidRPr="00000000">
        <w:rPr>
          <w:rtl w:val="0"/>
        </w:rPr>
        <w:t xml:space="preserve">U.S. Census Bureau, Real Median Household Income in each state [MEHOINUSALA672N], retrieved from FRED, Federal Reserve Bank of St. Louis; https://fred.stlouisfed.org/series/MEHOINUSALA672N, July 25, 2024.</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ED">
      <w:pPr>
        <w:numPr>
          <w:ilvl w:val="0"/>
          <w:numId w:val="1"/>
        </w:numPr>
        <w:spacing w:line="480" w:lineRule="auto"/>
        <w:ind w:left="720" w:hanging="360"/>
        <w:rPr/>
      </w:pPr>
      <w:r w:rsidDel="00000000" w:rsidR="00000000" w:rsidRPr="00000000">
        <w:rPr>
          <w:rtl w:val="0"/>
        </w:rPr>
        <w:t xml:space="preserve">Single-race Population Estimates, United States. July 1st resident population by state, county, age, sex, single-race, and Hispanic origin, on CDC WONDER Online Database. Vintage 2020 estimates released by U.S. Census Bureau on July 27, 2021; https://wonder.cdc.gov/single-race-population.html.</w:t>
      </w:r>
      <w:r w:rsidDel="00000000" w:rsidR="00000000" w:rsidRPr="00000000">
        <w:rPr>
          <w:rtl w:val="0"/>
        </w:rPr>
      </w:r>
    </w:p>
    <w:p w:rsidR="00000000" w:rsidDel="00000000" w:rsidP="00000000" w:rsidRDefault="00000000" w:rsidRPr="00000000" w14:paraId="000001EE">
      <w:pPr>
        <w:pStyle w:val="Heading1"/>
        <w:rPr/>
      </w:pPr>
      <w:bookmarkStart w:colFirst="0" w:colLast="0" w:name="_y9gdl9jou13" w:id="41"/>
      <w:bookmarkEnd w:id="41"/>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rPr/>
      </w:pPr>
      <w:bookmarkStart w:colFirst="0" w:colLast="0" w:name="_rhut02lt2vww" w:id="42"/>
      <w:bookmarkEnd w:id="42"/>
      <w:r w:rsidDel="00000000" w:rsidR="00000000" w:rsidRPr="00000000">
        <w:rPr>
          <w:rtl w:val="0"/>
        </w:rPr>
      </w:r>
    </w:p>
    <w:p w:rsidR="00000000" w:rsidDel="00000000" w:rsidP="00000000" w:rsidRDefault="00000000" w:rsidRPr="00000000" w14:paraId="000001F0">
      <w:pPr>
        <w:pStyle w:val="Heading1"/>
        <w:rPr>
          <w:rFonts w:ascii="Times New Roman" w:cs="Times New Roman" w:eastAsia="Times New Roman" w:hAnsi="Times New Roman"/>
          <w:sz w:val="24"/>
          <w:szCs w:val="24"/>
        </w:rPr>
      </w:pPr>
      <w:bookmarkStart w:colFirst="0" w:colLast="0" w:name="_tjssivnnq1r" w:id="43"/>
      <w:bookmarkEnd w:id="43"/>
      <w:r w:rsidDel="00000000" w:rsidR="00000000" w:rsidRPr="00000000">
        <w:rPr>
          <w:rtl w:val="0"/>
        </w:rPr>
        <w:t xml:space="preserve">Appendix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pStyle w:val="Heading2"/>
        <w:rPr/>
      </w:pPr>
      <w:bookmarkStart w:colFirst="0" w:colLast="0" w:name="_2wjvshw17tw" w:id="44"/>
      <w:bookmarkEnd w:id="44"/>
      <w:r w:rsidDel="00000000" w:rsidR="00000000" w:rsidRPr="00000000">
        <w:rPr>
          <w:rtl w:val="0"/>
        </w:rPr>
        <w:t xml:space="preserve">Abbreviations</w:t>
      </w:r>
    </w:p>
    <w:tbl>
      <w:tblPr>
        <w:tblStyle w:val="Table3"/>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195"/>
        <w:tblGridChange w:id="0">
          <w:tblGrid>
            <w:gridCol w:w="2145"/>
            <w:gridCol w:w="6195"/>
          </w:tblGrid>
        </w:tblGridChange>
      </w:tblGrid>
      <w:tr>
        <w:trPr>
          <w:cantSplit w:val="0"/>
          <w:trHeight w:val="55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2">
            <w:pPr>
              <w:rPr>
                <w:b w:val="1"/>
              </w:rPr>
            </w:pPr>
            <w:r w:rsidDel="00000000" w:rsidR="00000000" w:rsidRPr="00000000">
              <w:rPr>
                <w:b w:val="1"/>
                <w:rtl w:val="0"/>
              </w:rPr>
              <w:t xml:space="preserve">Abbreviation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3">
            <w:pPr>
              <w:rPr>
                <w:b w:val="1"/>
              </w:rPr>
            </w:pPr>
            <w:r w:rsidDel="00000000" w:rsidR="00000000" w:rsidRPr="00000000">
              <w:rPr>
                <w:b w:val="1"/>
                <w:rtl w:val="0"/>
              </w:rPr>
              <w:t xml:space="preserve">Definition</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4">
            <w:pPr>
              <w:rPr/>
            </w:pPr>
            <w:r w:rsidDel="00000000" w:rsidR="00000000" w:rsidRPr="00000000">
              <w:rPr>
                <w:rtl w:val="0"/>
              </w:rPr>
              <w:t xml:space="preserve">ACA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5">
            <w:pPr>
              <w:rPr/>
            </w:pPr>
            <w:r w:rsidDel="00000000" w:rsidR="00000000" w:rsidRPr="00000000">
              <w:rPr>
                <w:rtl w:val="0"/>
              </w:rPr>
              <w:t xml:space="preserve">Affordable Care Act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6">
            <w:pPr>
              <w:rPr/>
            </w:pPr>
            <w:r w:rsidDel="00000000" w:rsidR="00000000" w:rsidRPr="00000000">
              <w:rPr>
                <w:rtl w:val="0"/>
              </w:rPr>
              <w:t xml:space="preserve">AUD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7">
            <w:pPr>
              <w:rPr/>
            </w:pPr>
            <w:r w:rsidDel="00000000" w:rsidR="00000000" w:rsidRPr="00000000">
              <w:rPr>
                <w:rtl w:val="0"/>
              </w:rPr>
              <w:t xml:space="preserve">Alcohol Use Disorder</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8">
            <w:pPr>
              <w:rPr/>
            </w:pPr>
            <w:r w:rsidDel="00000000" w:rsidR="00000000" w:rsidRPr="00000000">
              <w:rPr>
                <w:rtl w:val="0"/>
              </w:rPr>
              <w:t xml:space="preserve">GLM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9">
            <w:pPr>
              <w:rPr/>
            </w:pPr>
            <w:r w:rsidDel="00000000" w:rsidR="00000000" w:rsidRPr="00000000">
              <w:rPr>
                <w:rtl w:val="0"/>
              </w:rPr>
              <w:t xml:space="preserve">Generalized Linear Model</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A">
            <w:pPr>
              <w:rPr/>
            </w:pPr>
            <w:r w:rsidDel="00000000" w:rsidR="00000000" w:rsidRPr="00000000">
              <w:rPr>
                <w:rtl w:val="0"/>
              </w:rPr>
              <w:t xml:space="preserve">NSDUH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B">
            <w:pPr>
              <w:rPr/>
            </w:pPr>
            <w:r w:rsidDel="00000000" w:rsidR="00000000" w:rsidRPr="00000000">
              <w:rPr>
                <w:rtl w:val="0"/>
              </w:rPr>
              <w:t xml:space="preserve">National Survey on Drug Use and Health</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C">
            <w:pPr>
              <w:rPr/>
            </w:pPr>
            <w:r w:rsidDel="00000000" w:rsidR="00000000" w:rsidRPr="00000000">
              <w:rPr>
                <w:rtl w:val="0"/>
              </w:rPr>
              <w:t xml:space="preserve">NSSATS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D">
            <w:pPr>
              <w:rPr/>
            </w:pPr>
            <w:r w:rsidDel="00000000" w:rsidR="00000000" w:rsidRPr="00000000">
              <w:rPr>
                <w:rtl w:val="0"/>
              </w:rPr>
              <w:t xml:space="preserve">National Survey of Substance Abuse Treatment Services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E">
            <w:pPr>
              <w:rPr/>
            </w:pPr>
            <w:r w:rsidDel="00000000" w:rsidR="00000000" w:rsidRPr="00000000">
              <w:rPr>
                <w:rtl w:val="0"/>
              </w:rPr>
              <w:t xml:space="preserve">CMS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F">
            <w:pPr>
              <w:rPr/>
            </w:pPr>
            <w:r w:rsidDel="00000000" w:rsidR="00000000" w:rsidRPr="00000000">
              <w:rPr>
                <w:rtl w:val="0"/>
              </w:rPr>
              <w:t xml:space="preserve">Centers for Medicare and Medicaid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0">
            <w:pPr>
              <w:rPr/>
            </w:pPr>
            <w:r w:rsidDel="00000000" w:rsidR="00000000" w:rsidRPr="00000000">
              <w:rPr>
                <w:rtl w:val="0"/>
              </w:rPr>
              <w:t xml:space="preserve">ACS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1">
            <w:pPr>
              <w:rPr/>
            </w:pPr>
            <w:r w:rsidDel="00000000" w:rsidR="00000000" w:rsidRPr="00000000">
              <w:rPr>
                <w:rtl w:val="0"/>
              </w:rPr>
              <w:t xml:space="preserve">American Community Survey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2">
            <w:pPr>
              <w:rPr/>
            </w:pPr>
            <w:r w:rsidDel="00000000" w:rsidR="00000000" w:rsidRPr="00000000">
              <w:rPr>
                <w:rtl w:val="0"/>
              </w:rPr>
              <w:t xml:space="preserve">PWUD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3">
            <w:pPr>
              <w:rPr/>
            </w:pPr>
            <w:r w:rsidDel="00000000" w:rsidR="00000000" w:rsidRPr="00000000">
              <w:rPr>
                <w:rtl w:val="0"/>
              </w:rPr>
              <w:t xml:space="preserve">People who use drugs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4">
            <w:pPr>
              <w:rPr/>
            </w:pPr>
            <w:r w:rsidDel="00000000" w:rsidR="00000000" w:rsidRPr="00000000">
              <w:rPr>
                <w:rtl w:val="0"/>
              </w:rPr>
              <w:t xml:space="preserve">SAMHSA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5">
            <w:pPr>
              <w:rPr/>
            </w:pPr>
            <w:r w:rsidDel="00000000" w:rsidR="00000000" w:rsidRPr="00000000">
              <w:rPr>
                <w:rtl w:val="0"/>
              </w:rPr>
              <w:t xml:space="preserve">Substance Abuse and Mental Health Services Administration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6">
            <w:pPr>
              <w:rPr/>
            </w:pPr>
            <w:r w:rsidDel="00000000" w:rsidR="00000000" w:rsidRPr="00000000">
              <w:rPr>
                <w:rtl w:val="0"/>
              </w:rPr>
              <w:t xml:space="preserve">SUD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7">
            <w:pPr>
              <w:rPr/>
            </w:pPr>
            <w:r w:rsidDel="00000000" w:rsidR="00000000" w:rsidRPr="00000000">
              <w:rPr>
                <w:rtl w:val="0"/>
              </w:rPr>
              <w:t xml:space="preserve">Substance Use Disorder</w:t>
            </w:r>
          </w:p>
        </w:tc>
      </w:tr>
      <w:tr>
        <w:trPr>
          <w:cantSplit w:val="0"/>
          <w:trHeight w:val="55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8">
            <w:pPr>
              <w:rPr/>
            </w:pPr>
            <w:r w:rsidDel="00000000" w:rsidR="00000000" w:rsidRPr="00000000">
              <w:rPr>
                <w:rtl w:val="0"/>
              </w:rPr>
              <w:t xml:space="preserve">SE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9">
            <w:pPr>
              <w:rPr/>
            </w:pPr>
            <w:r w:rsidDel="00000000" w:rsidR="00000000" w:rsidRPr="00000000">
              <w:rPr>
                <w:rtl w:val="0"/>
              </w:rPr>
              <w:t xml:space="preserve">Standard error</w:t>
            </w:r>
          </w:p>
        </w:tc>
      </w:tr>
    </w:tbl>
    <w:p w:rsidR="00000000" w:rsidDel="00000000" w:rsidP="00000000" w:rsidRDefault="00000000" w:rsidRPr="00000000" w14:paraId="0000020A">
      <w:pPr>
        <w:rPr/>
      </w:pPr>
      <w:r w:rsidDel="00000000" w:rsidR="00000000" w:rsidRPr="00000000">
        <w:rPr>
          <w:rtl w:val="0"/>
        </w:rPr>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110"/>
        <w:gridCol w:w="1245"/>
        <w:gridCol w:w="990"/>
        <w:gridCol w:w="1245"/>
        <w:gridCol w:w="915"/>
        <w:gridCol w:w="1245"/>
        <w:tblGridChange w:id="0">
          <w:tblGrid>
            <w:gridCol w:w="2160"/>
            <w:gridCol w:w="1110"/>
            <w:gridCol w:w="1245"/>
            <w:gridCol w:w="990"/>
            <w:gridCol w:w="1245"/>
            <w:gridCol w:w="915"/>
            <w:gridCol w:w="1245"/>
          </w:tblGrid>
        </w:tblGridChange>
      </w:tblGrid>
      <w:tr>
        <w:trPr>
          <w:cantSplit w:val="0"/>
          <w:trHeight w:val="1620" w:hRule="atLeast"/>
          <w:tblHeader w:val="0"/>
        </w:trPr>
        <w:tc>
          <w:tcPr>
            <w:gridSpan w:val="7"/>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Table A1 – Number of treatment centers in 2015 in all 50 states and D.C., and the change in treatment centers from 2015 to 2019, according to profit status (sorted decreasing by</w:t>
            </w:r>
          </w:p>
          <w:p w:rsidR="00000000" w:rsidDel="00000000" w:rsidP="00000000" w:rsidRDefault="00000000" w:rsidRPr="00000000" w14:paraId="0000020C">
            <w:pPr>
              <w:jc w:val="center"/>
              <w:rPr/>
            </w:pPr>
            <w:r w:rsidDel="00000000" w:rsidR="00000000" w:rsidRPr="00000000">
              <w:rPr>
                <w:rtl w:val="0"/>
              </w:rPr>
              <w:t xml:space="preserve">  the change in count of For-Profit treatment centers)</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3">
            <w:pPr>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4">
            <w:pPr>
              <w:rPr/>
            </w:pPr>
            <w:r w:rsidDel="00000000" w:rsidR="00000000" w:rsidRPr="00000000">
              <w:rPr>
                <w:rtl w:val="0"/>
              </w:rPr>
              <w:t xml:space="preserve">For-Profit</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6">
            <w:pPr>
              <w:jc w:val="center"/>
              <w:rPr/>
            </w:pPr>
            <w:r w:rsidDel="00000000" w:rsidR="00000000" w:rsidRPr="00000000">
              <w:rPr>
                <w:rtl w:val="0"/>
              </w:rPr>
              <w:t xml:space="preserve">Non-Profit</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8">
            <w:pPr>
              <w:jc w:val="center"/>
              <w:rPr/>
            </w:pPr>
            <w:r w:rsidDel="00000000" w:rsidR="00000000" w:rsidRPr="00000000">
              <w:rPr>
                <w:rtl w:val="0"/>
              </w:rPr>
              <w:t xml:space="preserve">Government</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A">
            <w:pPr>
              <w:rPr/>
            </w:pPr>
            <w:r w:rsidDel="00000000" w:rsidR="00000000" w:rsidRPr="00000000">
              <w:rPr>
                <w:rtl w:val="0"/>
              </w:rPr>
              <w:t xml:space="preserve">State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B">
            <w:pPr>
              <w:jc w:val="center"/>
              <w:rPr/>
            </w:pPr>
            <w:r w:rsidDel="00000000" w:rsidR="00000000" w:rsidRPr="00000000">
              <w:rPr>
                <w:rtl w:val="0"/>
              </w:rPr>
              <w:t xml:space="preserve">Count 2015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C">
            <w:pPr>
              <w:jc w:val="center"/>
              <w:rPr/>
            </w:pPr>
            <w:r w:rsidDel="00000000" w:rsidR="00000000" w:rsidRPr="00000000">
              <w:rPr>
                <w:rtl w:val="0"/>
              </w:rPr>
              <w:t xml:space="preserve">Change</w:t>
            </w:r>
          </w:p>
          <w:p w:rsidR="00000000" w:rsidDel="00000000" w:rsidP="00000000" w:rsidRDefault="00000000" w:rsidRPr="00000000" w14:paraId="0000021D">
            <w:pPr>
              <w:jc w:val="center"/>
              <w:rPr/>
            </w:pPr>
            <w:r w:rsidDel="00000000" w:rsidR="00000000" w:rsidRPr="00000000">
              <w:rPr>
                <w:rtl w:val="0"/>
              </w:rPr>
              <w:t xml:space="preserve">2019 - 2015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1E">
            <w:pPr>
              <w:jc w:val="center"/>
              <w:rPr/>
            </w:pPr>
            <w:r w:rsidDel="00000000" w:rsidR="00000000" w:rsidRPr="00000000">
              <w:rPr>
                <w:rtl w:val="0"/>
              </w:rPr>
              <w:t xml:space="preserve">Count</w:t>
            </w:r>
          </w:p>
          <w:p w:rsidR="00000000" w:rsidDel="00000000" w:rsidP="00000000" w:rsidRDefault="00000000" w:rsidRPr="00000000" w14:paraId="0000021F">
            <w:pPr>
              <w:jc w:val="center"/>
              <w:rPr/>
            </w:pPr>
            <w:r w:rsidDel="00000000" w:rsidR="00000000" w:rsidRPr="00000000">
              <w:rPr>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0">
            <w:pPr>
              <w:jc w:val="center"/>
              <w:rPr/>
            </w:pPr>
            <w:r w:rsidDel="00000000" w:rsidR="00000000" w:rsidRPr="00000000">
              <w:rPr>
                <w:rtl w:val="0"/>
              </w:rPr>
              <w:t xml:space="preserve">Change</w:t>
            </w:r>
          </w:p>
          <w:p w:rsidR="00000000" w:rsidDel="00000000" w:rsidP="00000000" w:rsidRDefault="00000000" w:rsidRPr="00000000" w14:paraId="00000221">
            <w:pPr>
              <w:jc w:val="center"/>
              <w:rPr/>
            </w:pPr>
            <w:r w:rsidDel="00000000" w:rsidR="00000000" w:rsidRPr="00000000">
              <w:rPr>
                <w:rtl w:val="0"/>
              </w:rPr>
              <w:t xml:space="preserve">2019 - 2015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Count</w:t>
            </w:r>
          </w:p>
          <w:p w:rsidR="00000000" w:rsidDel="00000000" w:rsidP="00000000" w:rsidRDefault="00000000" w:rsidRPr="00000000" w14:paraId="00000223">
            <w:pPr>
              <w:jc w:val="center"/>
              <w:rPr/>
            </w:pPr>
            <w:r w:rsidDel="00000000" w:rsidR="00000000" w:rsidRPr="00000000">
              <w:rPr>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Change</w:t>
            </w:r>
          </w:p>
          <w:p w:rsidR="00000000" w:rsidDel="00000000" w:rsidP="00000000" w:rsidRDefault="00000000" w:rsidRPr="00000000" w14:paraId="00000225">
            <w:pPr>
              <w:jc w:val="center"/>
              <w:rPr/>
            </w:pPr>
            <w:r w:rsidDel="00000000" w:rsidR="00000000" w:rsidRPr="00000000">
              <w:rPr>
                <w:rtl w:val="0"/>
              </w:rPr>
              <w:t xml:space="preserve">2019 - 2015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6">
            <w:pPr>
              <w:rPr/>
            </w:pPr>
            <w:r w:rsidDel="00000000" w:rsidR="00000000" w:rsidRPr="00000000">
              <w:rPr>
                <w:rtl w:val="0"/>
              </w:rPr>
              <w:t xml:space="preserve">California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402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378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822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A">
            <w:pPr>
              <w:jc w:val="cente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B">
            <w:pPr>
              <w:jc w:val="center"/>
              <w:rPr/>
            </w:pPr>
            <w:r w:rsidDel="00000000" w:rsidR="00000000" w:rsidRPr="00000000">
              <w:rPr>
                <w:rtl w:val="0"/>
              </w:rPr>
              <w:t xml:space="preserve">175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34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D">
            <w:pPr>
              <w:rPr/>
            </w:pPr>
            <w:r w:rsidDel="00000000" w:rsidR="00000000" w:rsidRPr="00000000">
              <w:rPr>
                <w:rtl w:val="0"/>
              </w:rPr>
              <w:t xml:space="preserve">Utah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E">
            <w:pPr>
              <w:jc w:val="cente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2F">
            <w:pPr>
              <w:jc w:val="center"/>
              <w:rPr/>
            </w:pPr>
            <w:r w:rsidDel="00000000" w:rsidR="00000000" w:rsidRPr="00000000">
              <w:rPr>
                <w:rtl w:val="0"/>
              </w:rPr>
              <w:t xml:space="preserve">106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4">
            <w:pPr>
              <w:rPr/>
            </w:pPr>
            <w:r w:rsidDel="00000000" w:rsidR="00000000" w:rsidRPr="00000000">
              <w:rPr>
                <w:rtl w:val="0"/>
              </w:rPr>
              <w:t xml:space="preserve">Indiana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6">
            <w:pPr>
              <w:jc w:val="cente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176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8">
            <w:pPr>
              <w:jc w:val="cente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9">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A">
            <w:pPr>
              <w:jc w:val="center"/>
              <w:rPr/>
            </w:pPr>
            <w:r w:rsidDel="00000000" w:rsidR="00000000" w:rsidRPr="00000000">
              <w:rPr>
                <w:rtl w:val="0"/>
              </w:rPr>
              <w:t xml:space="preserve">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B">
            <w:pPr>
              <w:rPr/>
            </w:pPr>
            <w:r w:rsidDel="00000000" w:rsidR="00000000" w:rsidRPr="00000000">
              <w:rPr>
                <w:rtl w:val="0"/>
              </w:rPr>
              <w:t xml:space="preserve">North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E">
            <w:pPr>
              <w:jc w:val="center"/>
              <w:rPr/>
            </w:pPr>
            <w:r w:rsidDel="00000000" w:rsidR="00000000" w:rsidRPr="00000000">
              <w:rPr>
                <w:rtl w:val="0"/>
              </w:rPr>
              <w:t xml:space="preserve">184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2">
            <w:pPr>
              <w:rPr/>
            </w:pPr>
            <w:r w:rsidDel="00000000" w:rsidR="00000000" w:rsidRPr="00000000">
              <w:rPr>
                <w:rtl w:val="0"/>
              </w:rPr>
              <w:t xml:space="preserve">Ohio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4">
            <w:pPr>
              <w:jc w:val="cente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298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8">
            <w:pPr>
              <w:jc w:val="center"/>
              <w:rPr/>
            </w:pPr>
            <w:r w:rsidDel="00000000" w:rsidR="00000000" w:rsidRPr="00000000">
              <w:rPr>
                <w:rtl w:val="0"/>
              </w:rPr>
              <w:t xml:space="preserve">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9">
            <w:pPr>
              <w:rPr/>
            </w:pPr>
            <w:r w:rsidDel="00000000" w:rsidR="00000000" w:rsidRPr="00000000">
              <w:rPr>
                <w:rtl w:val="0"/>
              </w:rPr>
              <w:t xml:space="preserve">Kentucky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A">
            <w:pPr>
              <w:jc w:val="center"/>
              <w:rPr/>
            </w:pPr>
            <w:r w:rsidDel="00000000" w:rsidR="00000000" w:rsidRPr="00000000">
              <w:rPr>
                <w:rtl w:val="0"/>
              </w:rPr>
              <w:t xml:space="preserve">144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B">
            <w:pPr>
              <w:jc w:val="cente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C">
            <w:pPr>
              <w:jc w:val="center"/>
              <w:rPr/>
            </w:pPr>
            <w:r w:rsidDel="00000000" w:rsidR="00000000" w:rsidRPr="00000000">
              <w:rPr>
                <w:rtl w:val="0"/>
              </w:rPr>
              <w:t xml:space="preserve">182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D">
            <w:pPr>
              <w:jc w:val="cente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E">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4F">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0">
            <w:pPr>
              <w:rPr/>
            </w:pPr>
            <w:r w:rsidDel="00000000" w:rsidR="00000000" w:rsidRPr="00000000">
              <w:rPr>
                <w:rtl w:val="0"/>
              </w:rPr>
              <w:t xml:space="preserve">Florida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1">
            <w:pPr>
              <w:jc w:val="center"/>
              <w:rPr/>
            </w:pPr>
            <w:r w:rsidDel="00000000" w:rsidR="00000000" w:rsidRPr="00000000">
              <w:rPr>
                <w:rtl w:val="0"/>
              </w:rPr>
              <w:t xml:space="preserve">321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2">
            <w:pPr>
              <w:jc w:val="cente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6">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7">
            <w:pPr>
              <w:rPr/>
            </w:pPr>
            <w:r w:rsidDel="00000000" w:rsidR="00000000" w:rsidRPr="00000000">
              <w:rPr>
                <w:rtl w:val="0"/>
              </w:rPr>
              <w:t xml:space="preserve">Maryland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8">
            <w:pPr>
              <w:jc w:val="center"/>
              <w:rPr/>
            </w:pPr>
            <w:r w:rsidDel="00000000" w:rsidR="00000000" w:rsidRPr="00000000">
              <w:rPr>
                <w:rtl w:val="0"/>
              </w:rPr>
              <w:t xml:space="preserve">191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9">
            <w:pPr>
              <w:jc w:val="cente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132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B">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C">
            <w:pPr>
              <w:jc w:val="cente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-19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E">
            <w:pPr>
              <w:rPr/>
            </w:pPr>
            <w:r w:rsidDel="00000000" w:rsidR="00000000" w:rsidRPr="00000000">
              <w:rPr>
                <w:rtl w:val="0"/>
              </w:rPr>
              <w:t xml:space="preserve">Massachusetts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5F">
            <w:pPr>
              <w:jc w:val="cente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0">
            <w:pPr>
              <w:jc w:val="cente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1">
            <w:pPr>
              <w:jc w:val="center"/>
              <w:rPr/>
            </w:pPr>
            <w:r w:rsidDel="00000000" w:rsidR="00000000" w:rsidRPr="00000000">
              <w:rPr>
                <w:rtl w:val="0"/>
              </w:rPr>
              <w:t xml:space="preserve">240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2">
            <w:pPr>
              <w:jc w:val="cente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3">
            <w:pPr>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5">
            <w:pPr>
              <w:rPr/>
            </w:pPr>
            <w:r w:rsidDel="00000000" w:rsidR="00000000" w:rsidRPr="00000000">
              <w:rPr>
                <w:rtl w:val="0"/>
              </w:rPr>
              <w:t xml:space="preserve">Texas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6">
            <w:pPr>
              <w:jc w:val="center"/>
              <w:rPr/>
            </w:pPr>
            <w:r w:rsidDel="00000000" w:rsidR="00000000" w:rsidRPr="00000000">
              <w:rPr>
                <w:rtl w:val="0"/>
              </w:rPr>
              <w:t xml:space="preserve">195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7">
            <w:pPr>
              <w:jc w:val="center"/>
              <w:rPr/>
            </w:pPr>
            <w:r w:rsidDel="00000000" w:rsidR="00000000" w:rsidRPr="00000000">
              <w:rPr>
                <w:rtl w:val="0"/>
              </w:rPr>
              <w:t xml:space="preserve">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8">
            <w:pPr>
              <w:jc w:val="cente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9">
            <w:pPr>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A">
            <w:pPr>
              <w:jc w:val="cente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B">
            <w:pPr>
              <w:jc w:val="center"/>
              <w:rPr/>
            </w:pPr>
            <w:r w:rsidDel="00000000" w:rsidR="00000000" w:rsidRPr="00000000">
              <w:rPr>
                <w:rtl w:val="0"/>
              </w:rPr>
              <w:t xml:space="preserve">12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C">
            <w:pPr>
              <w:rPr/>
            </w:pPr>
            <w:r w:rsidDel="00000000" w:rsidR="00000000" w:rsidRPr="00000000">
              <w:rPr>
                <w:rtl w:val="0"/>
              </w:rPr>
              <w:t xml:space="preserve">Arizona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D">
            <w:pPr>
              <w:jc w:val="center"/>
              <w:rPr/>
            </w:pPr>
            <w:r w:rsidDel="00000000" w:rsidR="00000000" w:rsidRPr="00000000">
              <w:rPr>
                <w:rtl w:val="0"/>
              </w:rPr>
              <w:t xml:space="preserve">130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E">
            <w:pPr>
              <w:jc w:val="cente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6F">
            <w:pPr>
              <w:jc w:val="center"/>
              <w:rPr/>
            </w:pPr>
            <w:r w:rsidDel="00000000" w:rsidR="00000000" w:rsidRPr="00000000">
              <w:rPr>
                <w:rtl w:val="0"/>
              </w:rPr>
              <w:t xml:space="preserve">176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0">
            <w:pPr>
              <w:jc w:val="cente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1">
            <w:pPr>
              <w:jc w:val="cente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3">
            <w:pPr>
              <w:rPr/>
            </w:pPr>
            <w:r w:rsidDel="00000000" w:rsidR="00000000" w:rsidRPr="00000000">
              <w:rPr>
                <w:rtl w:val="0"/>
              </w:rPr>
              <w:t xml:space="preserve">Pennsylvania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4">
            <w:pPr>
              <w:jc w:val="center"/>
              <w:rPr/>
            </w:pPr>
            <w:r w:rsidDel="00000000" w:rsidR="00000000" w:rsidRPr="00000000">
              <w:rPr>
                <w:rtl w:val="0"/>
              </w:rPr>
              <w:t xml:space="preserve">202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5">
            <w:pPr>
              <w:jc w:val="cente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6">
            <w:pPr>
              <w:jc w:val="center"/>
              <w:rPr/>
            </w:pPr>
            <w:r w:rsidDel="00000000" w:rsidR="00000000" w:rsidRPr="00000000">
              <w:rPr>
                <w:rtl w:val="0"/>
              </w:rPr>
              <w:t xml:space="preserve">311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7">
            <w:pPr>
              <w:jc w:val="cente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9">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A">
            <w:pPr>
              <w:rPr/>
            </w:pPr>
            <w:r w:rsidDel="00000000" w:rsidR="00000000" w:rsidRPr="00000000">
              <w:rPr>
                <w:rtl w:val="0"/>
              </w:rPr>
              <w:t xml:space="preserve">Tennessee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B">
            <w:pPr>
              <w:jc w:val="cente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C">
            <w:pPr>
              <w:jc w:val="cente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157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E">
            <w:pPr>
              <w:jc w:val="cente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0">
            <w:pPr>
              <w:jc w:val="center"/>
              <w:rPr/>
            </w:pPr>
            <w:r w:rsidDel="00000000" w:rsidR="00000000" w:rsidRPr="00000000">
              <w:rPr>
                <w:rtl w:val="0"/>
              </w:rPr>
              <w:t xml:space="preserve">-2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1">
            <w:pPr>
              <w:rPr/>
            </w:pPr>
            <w:r w:rsidDel="00000000" w:rsidR="00000000" w:rsidRPr="00000000">
              <w:rPr>
                <w:rtl w:val="0"/>
              </w:rPr>
              <w:t xml:space="preserve">Georgia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2">
            <w:pPr>
              <w:jc w:val="center"/>
              <w:rPr/>
            </w:pPr>
            <w:r w:rsidDel="00000000" w:rsidR="00000000" w:rsidRPr="00000000">
              <w:rPr>
                <w:rtl w:val="0"/>
              </w:rPr>
              <w:t xml:space="preserve">157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3">
            <w:pPr>
              <w:jc w:val="cente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4">
            <w:pPr>
              <w:jc w:val="cente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6">
            <w:pPr>
              <w:jc w:val="cente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7">
            <w:pPr>
              <w:jc w:val="center"/>
              <w:rPr/>
            </w:pPr>
            <w:r w:rsidDel="00000000" w:rsidR="00000000" w:rsidRPr="00000000">
              <w:rPr>
                <w:rtl w:val="0"/>
              </w:rPr>
              <w:t xml:space="preserve">-11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8">
            <w:pPr>
              <w:rPr/>
            </w:pPr>
            <w:r w:rsidDel="00000000" w:rsidR="00000000" w:rsidRPr="00000000">
              <w:rPr>
                <w:rtl w:val="0"/>
              </w:rPr>
              <w:t xml:space="preserve">Minnesota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144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163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D">
            <w:pPr>
              <w:jc w:val="cente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E">
            <w:pPr>
              <w:jc w:val="center"/>
              <w:rPr/>
            </w:pPr>
            <w:r w:rsidDel="00000000" w:rsidR="00000000" w:rsidRPr="00000000">
              <w:rPr>
                <w:rtl w:val="0"/>
              </w:rPr>
              <w:t xml:space="preserve">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8F">
            <w:pPr>
              <w:rPr/>
            </w:pPr>
            <w:r w:rsidDel="00000000" w:rsidR="00000000" w:rsidRPr="00000000">
              <w:rPr>
                <w:rtl w:val="0"/>
              </w:rPr>
              <w:t xml:space="preserve">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0">
            <w:pPr>
              <w:jc w:val="cente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1">
            <w:pPr>
              <w:jc w:val="cente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6">
            <w:pPr>
              <w:rPr/>
            </w:pPr>
            <w:r w:rsidDel="00000000" w:rsidR="00000000" w:rsidRPr="00000000">
              <w:rPr>
                <w:rtl w:val="0"/>
              </w:rPr>
              <w:t xml:space="preserve">New Jersey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146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D">
            <w:pPr>
              <w:rPr/>
            </w:pPr>
            <w:r w:rsidDel="00000000" w:rsidR="00000000" w:rsidRPr="00000000">
              <w:rPr>
                <w:rtl w:val="0"/>
              </w:rPr>
              <w:t xml:space="preserve">Arkansas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0">
            <w:pPr>
              <w:jc w:val="cente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1">
            <w:pPr>
              <w:jc w:val="cente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4">
            <w:pPr>
              <w:rPr/>
            </w:pPr>
            <w:r w:rsidDel="00000000" w:rsidR="00000000" w:rsidRPr="00000000">
              <w:rPr>
                <w:rtl w:val="0"/>
              </w:rPr>
              <w:t xml:space="preserve">Illinois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5">
            <w:pPr>
              <w:jc w:val="center"/>
              <w:rPr/>
            </w:pPr>
            <w:r w:rsidDel="00000000" w:rsidR="00000000" w:rsidRPr="00000000">
              <w:rPr>
                <w:rtl w:val="0"/>
              </w:rPr>
              <w:t xml:space="preserve">263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6">
            <w:pPr>
              <w:jc w:val="cente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366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8">
            <w:pPr>
              <w:jc w:val="cente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9">
            <w:pPr>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B">
            <w:pPr>
              <w:rPr/>
            </w:pPr>
            <w:r w:rsidDel="00000000" w:rsidR="00000000" w:rsidRPr="00000000">
              <w:rPr>
                <w:rtl w:val="0"/>
              </w:rPr>
              <w:t xml:space="preserve">Montana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E">
            <w:pPr>
              <w:jc w:val="cente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0">
            <w:pPr>
              <w:jc w:val="cente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1">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2">
            <w:pPr>
              <w:rPr/>
            </w:pPr>
            <w:r w:rsidDel="00000000" w:rsidR="00000000" w:rsidRPr="00000000">
              <w:rPr>
                <w:rtl w:val="0"/>
              </w:rPr>
              <w:t xml:space="preserve">New Hampshire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3">
            <w:pPr>
              <w:jc w:val="cente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4">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5">
            <w:pPr>
              <w:jc w:val="cente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6">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9">
            <w:pPr>
              <w:rPr/>
            </w:pPr>
            <w:r w:rsidDel="00000000" w:rsidR="00000000" w:rsidRPr="00000000">
              <w:rPr>
                <w:rtl w:val="0"/>
              </w:rPr>
              <w:t xml:space="preserve">Alabama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D">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E">
            <w:pPr>
              <w:jc w:val="cente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0">
            <w:pPr>
              <w:rPr/>
            </w:pPr>
            <w:r w:rsidDel="00000000" w:rsidR="00000000" w:rsidRPr="00000000">
              <w:rPr>
                <w:rtl w:val="0"/>
              </w:rPr>
              <w:t xml:space="preserve">Mississippi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2">
            <w:pPr>
              <w:jc w:val="cente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5">
            <w:pPr>
              <w:jc w:val="cente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6">
            <w:pPr>
              <w:jc w:val="center"/>
              <w:rPr/>
            </w:pPr>
            <w:r w:rsidDel="00000000" w:rsidR="00000000" w:rsidRPr="00000000">
              <w:rPr>
                <w:rtl w:val="0"/>
              </w:rPr>
              <w:t xml:space="preserve">-12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7">
            <w:pPr>
              <w:rPr/>
            </w:pPr>
            <w:r w:rsidDel="00000000" w:rsidR="00000000" w:rsidRPr="00000000">
              <w:rPr>
                <w:rtl w:val="0"/>
              </w:rPr>
              <w:t xml:space="preserve">Iowa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9">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A">
            <w:pPr>
              <w:jc w:val="center"/>
              <w:rPr/>
            </w:pPr>
            <w:r w:rsidDel="00000000" w:rsidR="00000000" w:rsidRPr="00000000">
              <w:rPr>
                <w:rtl w:val="0"/>
              </w:rPr>
              <w:t xml:space="preserve">118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C">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E">
            <w:pPr>
              <w:rPr/>
            </w:pPr>
            <w:r w:rsidDel="00000000" w:rsidR="00000000" w:rsidRPr="00000000">
              <w:rPr>
                <w:rtl w:val="0"/>
              </w:rPr>
              <w:t xml:space="preserve">Michigan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153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0">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1">
            <w:pPr>
              <w:jc w:val="center"/>
              <w:rPr/>
            </w:pPr>
            <w:r w:rsidDel="00000000" w:rsidR="00000000" w:rsidRPr="00000000">
              <w:rPr>
                <w:rtl w:val="0"/>
              </w:rPr>
              <w:t xml:space="preserve">255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3">
            <w:pPr>
              <w:jc w:val="cente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4">
            <w:pPr>
              <w:jc w:val="center"/>
              <w:rPr/>
            </w:pPr>
            <w:r w:rsidDel="00000000" w:rsidR="00000000" w:rsidRPr="00000000">
              <w:rPr>
                <w:rtl w:val="0"/>
              </w:rPr>
              <w:t xml:space="preserve">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5">
            <w:pPr>
              <w:rPr/>
            </w:pPr>
            <w:r w:rsidDel="00000000" w:rsidR="00000000" w:rsidRPr="00000000">
              <w:rPr>
                <w:rtl w:val="0"/>
              </w:rPr>
              <w:t xml:space="preserve">Oregon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6">
            <w:pPr>
              <w:jc w:val="cente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8">
            <w:pPr>
              <w:jc w:val="center"/>
              <w:rPr/>
            </w:pPr>
            <w:r w:rsidDel="00000000" w:rsidR="00000000" w:rsidRPr="00000000">
              <w:rPr>
                <w:rtl w:val="0"/>
              </w:rPr>
              <w:t xml:space="preserve">138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9">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A">
            <w:pPr>
              <w:jc w:val="cente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B">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C">
            <w:pPr>
              <w:rPr/>
            </w:pPr>
            <w:r w:rsidDel="00000000" w:rsidR="00000000" w:rsidRPr="00000000">
              <w:rPr>
                <w:rtl w:val="0"/>
              </w:rPr>
              <w:t xml:space="preserve">West 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D">
            <w:pPr>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E">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DF">
            <w:pPr>
              <w:jc w:val="cente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1">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2">
            <w:pPr>
              <w:jc w:val="center"/>
              <w:rPr/>
            </w:pPr>
            <w:r w:rsidDel="00000000" w:rsidR="00000000" w:rsidRPr="00000000">
              <w:rPr>
                <w:rtl w:val="0"/>
              </w:rPr>
              <w:t xml:space="preserve">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3">
            <w:pPr>
              <w:rPr/>
            </w:pPr>
            <w:r w:rsidDel="00000000" w:rsidR="00000000" w:rsidRPr="00000000">
              <w:rPr>
                <w:rtl w:val="0"/>
              </w:rPr>
              <w:t xml:space="preserve">Louisiana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4">
            <w:pPr>
              <w:jc w:val="center"/>
              <w:rPr/>
            </w:pPr>
            <w:r w:rsidDel="00000000" w:rsidR="00000000" w:rsidRPr="00000000">
              <w:rPr>
                <w:rtl w:val="0"/>
              </w:rPr>
              <w:t xml:space="preserve">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9">
            <w:pPr>
              <w:jc w:val="center"/>
              <w:rPr/>
            </w:pPr>
            <w:r w:rsidDel="00000000" w:rsidR="00000000" w:rsidRPr="00000000">
              <w:rPr>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A">
            <w:pPr>
              <w:rPr/>
            </w:pPr>
            <w:r w:rsidDel="00000000" w:rsidR="00000000" w:rsidRPr="00000000">
              <w:rPr>
                <w:rtl w:val="0"/>
              </w:rPr>
              <w:t xml:space="preserve">Wisconsin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B">
            <w:pPr>
              <w:jc w:val="cente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C">
            <w:pPr>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D">
            <w:pPr>
              <w:jc w:val="cente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E">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EF">
            <w:pPr>
              <w:jc w:val="center"/>
              <w:rPr/>
            </w:pPr>
            <w:r w:rsidDel="00000000" w:rsidR="00000000" w:rsidRPr="00000000">
              <w:rPr>
                <w:rtl w:val="0"/>
              </w:rPr>
              <w:t xml:space="preserve">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0">
            <w:pPr>
              <w:jc w:val="center"/>
              <w:rPr/>
            </w:pPr>
            <w:r w:rsidDel="00000000" w:rsidR="00000000" w:rsidRPr="00000000">
              <w:rPr>
                <w:rtl w:val="0"/>
              </w:rPr>
              <w:t xml:space="preserve">-7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1">
            <w:pPr>
              <w:rPr/>
            </w:pPr>
            <w:r w:rsidDel="00000000" w:rsidR="00000000" w:rsidRPr="00000000">
              <w:rPr>
                <w:rtl w:val="0"/>
              </w:rPr>
              <w:t xml:space="preserve">New York</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2">
            <w:pPr>
              <w:jc w:val="center"/>
              <w:rPr/>
            </w:pPr>
            <w:r w:rsidDel="00000000" w:rsidR="00000000" w:rsidRPr="00000000">
              <w:rPr>
                <w:rtl w:val="0"/>
              </w:rPr>
              <w:t xml:space="preserve">143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3">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4">
            <w:pPr>
              <w:jc w:val="center"/>
              <w:rPr/>
            </w:pPr>
            <w:r w:rsidDel="00000000" w:rsidR="00000000" w:rsidRPr="00000000">
              <w:rPr>
                <w:rtl w:val="0"/>
              </w:rPr>
              <w:t xml:space="preserve">642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5">
            <w:pPr>
              <w:jc w:val="cente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6">
            <w:pPr>
              <w:jc w:val="center"/>
              <w:rPr/>
            </w:pPr>
            <w:r w:rsidDel="00000000" w:rsidR="00000000" w:rsidRPr="00000000">
              <w:rPr>
                <w:rtl w:val="0"/>
              </w:rPr>
              <w:t xml:space="preserve">116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7">
            <w:pPr>
              <w:jc w:val="center"/>
              <w:rPr/>
            </w:pPr>
            <w:r w:rsidDel="00000000" w:rsidR="00000000" w:rsidRPr="00000000">
              <w:rPr>
                <w:rtl w:val="0"/>
              </w:rPr>
              <w:t xml:space="preserve">-9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8">
            <w:pPr>
              <w:rPr/>
            </w:pPr>
            <w:r w:rsidDel="00000000" w:rsidR="00000000" w:rsidRPr="00000000">
              <w:rPr>
                <w:rtl w:val="0"/>
              </w:rPr>
              <w:t xml:space="preserve">North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9">
            <w:pPr>
              <w:jc w:val="cente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A">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B">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C">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D">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E">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2FF">
            <w:pPr>
              <w:rPr/>
            </w:pPr>
            <w:r w:rsidDel="00000000" w:rsidR="00000000" w:rsidRPr="00000000">
              <w:rPr>
                <w:rtl w:val="0"/>
              </w:rPr>
              <w:t xml:space="preserve">Nevada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0">
            <w:pPr>
              <w:jc w:val="cente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1">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2">
            <w:pPr>
              <w:jc w:val="cente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3">
            <w:pPr>
              <w:jc w:val="cente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4">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5">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6">
            <w:pPr>
              <w:rPr/>
            </w:pPr>
            <w:r w:rsidDel="00000000" w:rsidR="00000000" w:rsidRPr="00000000">
              <w:rPr>
                <w:rtl w:val="0"/>
              </w:rPr>
              <w:t xml:space="preserve">Hawaii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7">
            <w:pPr>
              <w:jc w:val="cente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8">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9">
            <w:pPr>
              <w:jc w:val="center"/>
              <w:rPr/>
            </w:pPr>
            <w:r w:rsidDel="00000000" w:rsidR="00000000" w:rsidRPr="00000000">
              <w:rPr>
                <w:rtl w:val="0"/>
              </w:rPr>
              <w:t xml:space="preserve">142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A">
            <w:pPr>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B">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C">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D">
            <w:pPr>
              <w:rPr/>
            </w:pPr>
            <w:r w:rsidDel="00000000" w:rsidR="00000000" w:rsidRPr="00000000">
              <w:rPr>
                <w:rtl w:val="0"/>
              </w:rPr>
              <w:t xml:space="preserve">South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E">
            <w:pPr>
              <w:jc w:val="cente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0F">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0">
            <w:pPr>
              <w:jc w:val="cente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1">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2">
            <w:pPr>
              <w:jc w:val="cente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4">
            <w:pPr>
              <w:rPr/>
            </w:pPr>
            <w:r w:rsidDel="00000000" w:rsidR="00000000" w:rsidRPr="00000000">
              <w:rPr>
                <w:rtl w:val="0"/>
              </w:rPr>
              <w:t xml:space="preserve">Delaware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5">
            <w:pPr>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6">
            <w:pPr>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7">
            <w:pPr>
              <w:jc w:val="cente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8">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9">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A">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B">
            <w:pPr>
              <w:rPr/>
            </w:pPr>
            <w:r w:rsidDel="00000000" w:rsidR="00000000" w:rsidRPr="00000000">
              <w:rPr>
                <w:rtl w:val="0"/>
              </w:rPr>
              <w:t xml:space="preserve">Rhode Island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C">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D">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E">
            <w:pPr>
              <w:jc w:val="cente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2">
            <w:pPr>
              <w:rPr/>
            </w:pPr>
            <w:r w:rsidDel="00000000" w:rsidR="00000000" w:rsidRPr="00000000">
              <w:rPr>
                <w:rtl w:val="0"/>
              </w:rPr>
              <w:t xml:space="preserve">Colorado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3">
            <w:pPr>
              <w:jc w:val="center"/>
              <w:rPr/>
            </w:pPr>
            <w:r w:rsidDel="00000000" w:rsidR="00000000" w:rsidRPr="00000000">
              <w:rPr>
                <w:rtl w:val="0"/>
              </w:rPr>
              <w:t xml:space="preserve">220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4">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5">
            <w:pPr>
              <w:jc w:val="center"/>
              <w:rPr/>
            </w:pPr>
            <w:r w:rsidDel="00000000" w:rsidR="00000000" w:rsidRPr="00000000">
              <w:rPr>
                <w:rtl w:val="0"/>
              </w:rPr>
              <w:t xml:space="preserve">159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6">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7">
            <w:pPr>
              <w:jc w:val="cente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8">
            <w:pPr>
              <w:jc w:val="center"/>
              <w:rPr/>
            </w:pPr>
            <w:r w:rsidDel="00000000" w:rsidR="00000000" w:rsidRPr="00000000">
              <w:rPr>
                <w:rtl w:val="0"/>
              </w:rPr>
              <w:t xml:space="preserve">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9">
            <w:pPr>
              <w:rPr/>
            </w:pPr>
            <w:r w:rsidDel="00000000" w:rsidR="00000000" w:rsidRPr="00000000">
              <w:rPr>
                <w:rtl w:val="0"/>
              </w:rPr>
              <w:t xml:space="preserve">Vermont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A">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B">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C">
            <w:pPr>
              <w:jc w:val="cente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D">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E">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2F">
            <w:pPr>
              <w:jc w:val="center"/>
              <w:rPr/>
            </w:pPr>
            <w:r w:rsidDel="00000000" w:rsidR="00000000" w:rsidRPr="00000000">
              <w:rPr>
                <w:rtl w:val="0"/>
              </w:rPr>
              <w:t xml:space="preserve">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0">
            <w:pPr>
              <w:rPr/>
            </w:pPr>
            <w:r w:rsidDel="00000000" w:rsidR="00000000" w:rsidRPr="00000000">
              <w:rPr>
                <w:rtl w:val="0"/>
              </w:rPr>
              <w:t xml:space="preserve">Alaska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1">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2">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4">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5">
            <w:pPr>
              <w:jc w:val="cente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6">
            <w:pPr>
              <w:jc w:val="center"/>
              <w:rPr/>
            </w:pPr>
            <w:r w:rsidDel="00000000" w:rsidR="00000000" w:rsidRPr="00000000">
              <w:rPr>
                <w:rtl w:val="0"/>
              </w:rPr>
              <w:t xml:space="preserve">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7">
            <w:pPr>
              <w:rPr/>
            </w:pPr>
            <w:r w:rsidDel="00000000" w:rsidR="00000000" w:rsidRPr="00000000">
              <w:rPr>
                <w:rtl w:val="0"/>
              </w:rPr>
              <w:t xml:space="preserve">Missouri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8">
            <w:pPr>
              <w:jc w:val="cente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9">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A">
            <w:pPr>
              <w:jc w:val="center"/>
              <w:rPr/>
            </w:pPr>
            <w:r w:rsidDel="00000000" w:rsidR="00000000" w:rsidRPr="00000000">
              <w:rPr>
                <w:rtl w:val="0"/>
              </w:rPr>
              <w:t xml:space="preserve">193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B">
            <w:pPr>
              <w:jc w:val="cente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C">
            <w:pPr>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E">
            <w:pPr>
              <w:rPr/>
            </w:pPr>
            <w:r w:rsidDel="00000000" w:rsidR="00000000" w:rsidRPr="00000000">
              <w:rPr>
                <w:rtl w:val="0"/>
              </w:rPr>
              <w:t xml:space="preserve">Nebraska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0">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1">
            <w:pPr>
              <w:jc w:val="cente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5">
            <w:pPr>
              <w:rPr/>
            </w:pPr>
            <w:r w:rsidDel="00000000" w:rsidR="00000000" w:rsidRPr="00000000">
              <w:rPr>
                <w:rtl w:val="0"/>
              </w:rPr>
              <w:t xml:space="preserve">Washington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6">
            <w:pPr>
              <w:jc w:val="center"/>
              <w:rPr/>
            </w:pPr>
            <w:r w:rsidDel="00000000" w:rsidR="00000000" w:rsidRPr="00000000">
              <w:rPr>
                <w:rtl w:val="0"/>
              </w:rPr>
              <w:t xml:space="preserve">175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7">
            <w:pPr>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8">
            <w:pPr>
              <w:jc w:val="center"/>
              <w:rPr/>
            </w:pPr>
            <w:r w:rsidDel="00000000" w:rsidR="00000000" w:rsidRPr="00000000">
              <w:rPr>
                <w:rtl w:val="0"/>
              </w:rPr>
              <w:t xml:space="preserve">170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9">
            <w:pPr>
              <w:jc w:val="cente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A">
            <w:pPr>
              <w:jc w:val="center"/>
              <w:rPr/>
            </w:pPr>
            <w:r w:rsidDel="00000000" w:rsidR="00000000" w:rsidRPr="00000000">
              <w:rPr>
                <w:rtl w:val="0"/>
              </w:rPr>
              <w:t xml:space="preserve">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B">
            <w:pPr>
              <w:jc w:val="center"/>
              <w:rPr/>
            </w:pPr>
            <w:r w:rsidDel="00000000" w:rsidR="00000000" w:rsidRPr="00000000">
              <w:rPr>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C">
            <w:pPr>
              <w:rPr/>
            </w:pPr>
            <w:r w:rsidDel="00000000" w:rsidR="00000000" w:rsidRPr="00000000">
              <w:rPr>
                <w:rtl w:val="0"/>
              </w:rPr>
              <w:t xml:space="preserve">New Mexico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D">
            <w:pPr>
              <w:jc w:val="cente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E">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4F">
            <w:pPr>
              <w:jc w:val="center"/>
              <w:rPr/>
            </w:pPr>
            <w:r w:rsidDel="00000000" w:rsidR="00000000" w:rsidRPr="00000000">
              <w:rPr>
                <w:rtl w:val="0"/>
              </w:rPr>
              <w:t xml:space="preserve">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0">
            <w:pPr>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1">
            <w:pPr>
              <w:jc w:val="cente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2">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3">
            <w:pPr>
              <w:rPr/>
            </w:pPr>
            <w:r w:rsidDel="00000000" w:rsidR="00000000" w:rsidRPr="00000000">
              <w:rPr>
                <w:rtl w:val="0"/>
              </w:rPr>
              <w:t xml:space="preserve">Connecticut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4">
            <w:pPr>
              <w:jc w:val="cente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5">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6">
            <w:pPr>
              <w:jc w:val="center"/>
              <w:rPr/>
            </w:pPr>
            <w:r w:rsidDel="00000000" w:rsidR="00000000" w:rsidRPr="00000000">
              <w:rPr>
                <w:rtl w:val="0"/>
              </w:rPr>
              <w:t xml:space="preserve">185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7">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8">
            <w:pPr>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9">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A">
            <w:pPr>
              <w:rPr/>
            </w:pPr>
            <w:r w:rsidDel="00000000" w:rsidR="00000000" w:rsidRPr="00000000">
              <w:rPr>
                <w:rtl w:val="0"/>
              </w:rPr>
              <w:t xml:space="preserve">Idaho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B">
            <w:pPr>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C">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D">
            <w:pPr>
              <w:jc w:val="cente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E">
            <w:pPr>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5F">
            <w:pPr>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0">
            <w:pPr>
              <w:jc w:val="center"/>
              <w:rPr/>
            </w:pPr>
            <w:r w:rsidDel="00000000" w:rsidR="00000000" w:rsidRPr="00000000">
              <w:rPr>
                <w:rtl w:val="0"/>
              </w:rPr>
              <w:t xml:space="preserve">-3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1">
            <w:pPr>
              <w:rPr/>
            </w:pPr>
            <w:r w:rsidDel="00000000" w:rsidR="00000000" w:rsidRPr="00000000">
              <w:rPr>
                <w:rtl w:val="0"/>
              </w:rPr>
              <w:t xml:space="preserve">Wyoming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2">
            <w:pPr>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3">
            <w:pPr>
              <w:jc w:val="cente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4">
            <w:pPr>
              <w:jc w:val="cente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5">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6">
            <w:pPr>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7">
            <w:pPr>
              <w:jc w:val="center"/>
              <w:rPr/>
            </w:pPr>
            <w:r w:rsidDel="00000000" w:rsidR="00000000" w:rsidRPr="00000000">
              <w:rPr>
                <w:rtl w:val="0"/>
              </w:rPr>
              <w:t xml:space="preserve">-3</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8">
            <w:pPr>
              <w:rPr/>
            </w:pPr>
            <w:r w:rsidDel="00000000" w:rsidR="00000000" w:rsidRPr="00000000">
              <w:rPr>
                <w:rtl w:val="0"/>
              </w:rPr>
              <w:t xml:space="preserve">District of Columbia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9">
            <w:pPr>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A">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B">
            <w:pPr>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C">
            <w:pPr>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D">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E">
            <w:pPr>
              <w:jc w:val="center"/>
              <w:rPr/>
            </w:pPr>
            <w:r w:rsidDel="00000000" w:rsidR="00000000" w:rsidRPr="00000000">
              <w:rPr>
                <w:rtl w:val="0"/>
              </w:rPr>
              <w:t xml:space="preserve">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6F">
            <w:pPr>
              <w:rPr/>
            </w:pPr>
            <w:r w:rsidDel="00000000" w:rsidR="00000000" w:rsidRPr="00000000">
              <w:rPr>
                <w:rtl w:val="0"/>
              </w:rPr>
              <w:t xml:space="preserve">Maine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0">
            <w:pPr>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1">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2">
            <w:pPr>
              <w:jc w:val="center"/>
              <w:rPr/>
            </w:pPr>
            <w:r w:rsidDel="00000000" w:rsidR="00000000" w:rsidRPr="00000000">
              <w:rPr>
                <w:rtl w:val="0"/>
              </w:rPr>
              <w:t xml:space="preserve">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3">
            <w:pPr>
              <w:jc w:val="cente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4">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5">
            <w:pPr>
              <w:jc w:val="center"/>
              <w:rPr/>
            </w:pPr>
            <w:r w:rsidDel="00000000" w:rsidR="00000000" w:rsidRPr="00000000">
              <w:rPr>
                <w:rtl w:val="0"/>
              </w:rPr>
              <w:t xml:space="preserve">-2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6">
            <w:pPr>
              <w:rPr/>
            </w:pPr>
            <w:r w:rsidDel="00000000" w:rsidR="00000000" w:rsidRPr="00000000">
              <w:rPr>
                <w:rtl w:val="0"/>
              </w:rPr>
              <w:t xml:space="preserve">South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7">
            <w:pPr>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8">
            <w:pPr>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9">
            <w:pPr>
              <w:jc w:val="cente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A">
            <w:pPr>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B">
            <w:pPr>
              <w:jc w:val="cente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C">
            <w:pPr>
              <w:jc w:val="center"/>
              <w:rPr/>
            </w:pPr>
            <w:r w:rsidDel="00000000" w:rsidR="00000000" w:rsidRPr="00000000">
              <w:rPr>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D">
            <w:pPr>
              <w:rPr/>
            </w:pPr>
            <w:r w:rsidDel="00000000" w:rsidR="00000000" w:rsidRPr="00000000">
              <w:rPr>
                <w:rtl w:val="0"/>
              </w:rPr>
              <w:t xml:space="preserve">Oklahoma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E">
            <w:pPr>
              <w:jc w:val="cente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7F">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0">
            <w:pPr>
              <w:jc w:val="center"/>
              <w:rPr/>
            </w:pPr>
            <w:r w:rsidDel="00000000" w:rsidR="00000000" w:rsidRPr="00000000">
              <w:rPr>
                <w:rtl w:val="0"/>
              </w:rPr>
              <w:t xml:space="preserve">104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1">
            <w:pPr>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2">
            <w:pPr>
              <w:jc w:val="cente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3">
            <w:pPr>
              <w:jc w:val="center"/>
              <w:rPr/>
            </w:pPr>
            <w:r w:rsidDel="00000000" w:rsidR="00000000" w:rsidRPr="00000000">
              <w:rPr>
                <w:rtl w:val="0"/>
              </w:rPr>
              <w:t xml:space="preserve">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4">
            <w:pPr>
              <w:rPr/>
            </w:pPr>
            <w:r w:rsidDel="00000000" w:rsidR="00000000" w:rsidRPr="00000000">
              <w:rPr>
                <w:rtl w:val="0"/>
              </w:rPr>
              <w:t xml:space="preserve">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5">
            <w:pPr>
              <w:jc w:val="center"/>
              <w:rPr/>
            </w:pPr>
            <w:r w:rsidDel="00000000" w:rsidR="00000000" w:rsidRPr="00000000">
              <w:rPr>
                <w:rtl w:val="0"/>
              </w:rPr>
              <w:t xml:space="preserve">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6">
            <w:pPr>
              <w:jc w:val="cente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7">
            <w:pPr>
              <w:jc w:val="cente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8">
            <w:pPr>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9">
            <w:pPr>
              <w:jc w:val="cente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A">
            <w:pPr>
              <w:jc w:val="center"/>
              <w:rPr/>
            </w:pPr>
            <w:r w:rsidDel="00000000" w:rsidR="00000000" w:rsidRPr="00000000">
              <w:rPr>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B">
            <w:pPr>
              <w:rPr>
                <w:b w:val="1"/>
              </w:rPr>
            </w:pPr>
            <w:r w:rsidDel="00000000" w:rsidR="00000000" w:rsidRPr="00000000">
              <w:rPr>
                <w:b w:val="1"/>
                <w:rtl w:val="0"/>
              </w:rPr>
              <w:t xml:space="preserve">Average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C">
            <w:pPr>
              <w:jc w:val="center"/>
              <w:rPr>
                <w:b w:val="1"/>
              </w:rPr>
            </w:pPr>
            <w:r w:rsidDel="00000000" w:rsidR="00000000" w:rsidRPr="00000000">
              <w:rPr>
                <w:b w:val="1"/>
                <w:rtl w:val="0"/>
              </w:rPr>
              <w:t xml:space="preserve">90.80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D">
            <w:pPr>
              <w:jc w:val="center"/>
              <w:rPr>
                <w:b w:val="1"/>
              </w:rPr>
            </w:pPr>
            <w:r w:rsidDel="00000000" w:rsidR="00000000" w:rsidRPr="00000000">
              <w:rPr>
                <w:b w:val="1"/>
                <w:rtl w:val="0"/>
              </w:rPr>
              <w:t xml:space="preserve">32.86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E">
            <w:pPr>
              <w:jc w:val="center"/>
              <w:rPr>
                <w:b w:val="1"/>
              </w:rPr>
            </w:pPr>
            <w:r w:rsidDel="00000000" w:rsidR="00000000" w:rsidRPr="00000000">
              <w:rPr>
                <w:b w:val="1"/>
                <w:rtl w:val="0"/>
              </w:rPr>
              <w:t xml:space="preserve">146.65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8F">
            <w:pPr>
              <w:jc w:val="center"/>
              <w:rPr>
                <w:b w:val="1"/>
              </w:rPr>
            </w:pPr>
            <w:r w:rsidDel="00000000" w:rsidR="00000000" w:rsidRPr="00000000">
              <w:rPr>
                <w:b w:val="1"/>
                <w:rtl w:val="0"/>
              </w:rPr>
              <w:t xml:space="preserve">9.75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0">
            <w:pPr>
              <w:jc w:val="center"/>
              <w:rPr>
                <w:b w:val="1"/>
              </w:rPr>
            </w:pPr>
            <w:r w:rsidDel="00000000" w:rsidR="00000000" w:rsidRPr="00000000">
              <w:rPr>
                <w:b w:val="1"/>
                <w:rtl w:val="0"/>
              </w:rPr>
              <w:t xml:space="preserve">31.53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1">
            <w:pPr>
              <w:jc w:val="center"/>
              <w:rPr>
                <w:b w:val="1"/>
              </w:rPr>
            </w:pPr>
            <w:r w:rsidDel="00000000" w:rsidR="00000000" w:rsidRPr="00000000">
              <w:rPr>
                <w:b w:val="1"/>
                <w:rtl w:val="0"/>
              </w:rPr>
              <w:t xml:space="preserve">-0.765</w:t>
            </w:r>
          </w:p>
        </w:tc>
      </w:tr>
      <w:tr>
        <w:trPr>
          <w:cantSplit w:val="0"/>
          <w:trHeight w:val="55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2">
            <w:pPr>
              <w:rPr>
                <w:b w:val="1"/>
              </w:rPr>
            </w:pPr>
            <w:r w:rsidDel="00000000" w:rsidR="00000000" w:rsidRPr="00000000">
              <w:rPr>
                <w:b w:val="1"/>
                <w:rtl w:val="0"/>
              </w:rPr>
              <w:t xml:space="preserve">Sum</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3">
            <w:pPr>
              <w:jc w:val="center"/>
              <w:rPr>
                <w:b w:val="1"/>
              </w:rPr>
            </w:pPr>
            <w:r w:rsidDel="00000000" w:rsidR="00000000" w:rsidRPr="00000000">
              <w:rPr>
                <w:b w:val="1"/>
                <w:rtl w:val="0"/>
              </w:rPr>
              <w:t xml:space="preserve">4631</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4">
            <w:pPr>
              <w:jc w:val="center"/>
              <w:rPr>
                <w:b w:val="1"/>
              </w:rPr>
            </w:pPr>
            <w:r w:rsidDel="00000000" w:rsidR="00000000" w:rsidRPr="00000000">
              <w:rPr>
                <w:b w:val="1"/>
                <w:rtl w:val="0"/>
              </w:rPr>
              <w:t xml:space="preserve">1676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5">
            <w:pPr>
              <w:jc w:val="center"/>
              <w:rPr>
                <w:b w:val="1"/>
              </w:rPr>
            </w:pPr>
            <w:r w:rsidDel="00000000" w:rsidR="00000000" w:rsidRPr="00000000">
              <w:rPr>
                <w:b w:val="1"/>
                <w:rtl w:val="0"/>
              </w:rPr>
              <w:t xml:space="preserve">7479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6">
            <w:pPr>
              <w:jc w:val="center"/>
              <w:rPr>
                <w:b w:val="1"/>
              </w:rPr>
            </w:pPr>
            <w:r w:rsidDel="00000000" w:rsidR="00000000" w:rsidRPr="00000000">
              <w:rPr>
                <w:b w:val="1"/>
                <w:rtl w:val="0"/>
              </w:rPr>
              <w:t xml:space="preserve">497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7">
            <w:pPr>
              <w:jc w:val="center"/>
              <w:rPr>
                <w:b w:val="1"/>
              </w:rPr>
            </w:pPr>
            <w:r w:rsidDel="00000000" w:rsidR="00000000" w:rsidRPr="00000000">
              <w:rPr>
                <w:b w:val="1"/>
                <w:rtl w:val="0"/>
              </w:rPr>
              <w:t xml:space="preserve">1608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98">
            <w:pPr>
              <w:jc w:val="center"/>
              <w:rPr>
                <w:b w:val="1"/>
              </w:rPr>
            </w:pPr>
            <w:r w:rsidDel="00000000" w:rsidR="00000000" w:rsidRPr="00000000">
              <w:rPr>
                <w:b w:val="1"/>
                <w:rtl w:val="0"/>
              </w:rPr>
              <w:t xml:space="preserve">-39</w:t>
            </w:r>
          </w:p>
        </w:tc>
      </w:tr>
    </w:tbl>
    <w:p w:rsidR="00000000" w:rsidDel="00000000" w:rsidP="00000000" w:rsidRDefault="00000000" w:rsidRPr="00000000" w14:paraId="00000399">
      <w:pPr>
        <w:rPr/>
      </w:pPr>
      <w:r w:rsidDel="00000000" w:rsidR="00000000" w:rsidRPr="00000000">
        <w:rPr>
          <w:rtl w:val="0"/>
        </w:rPr>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440"/>
        <w:gridCol w:w="1410"/>
        <w:gridCol w:w="1275"/>
        <w:gridCol w:w="1215"/>
        <w:gridCol w:w="1620"/>
        <w:tblGridChange w:id="0">
          <w:tblGrid>
            <w:gridCol w:w="1965"/>
            <w:gridCol w:w="1440"/>
            <w:gridCol w:w="1410"/>
            <w:gridCol w:w="1275"/>
            <w:gridCol w:w="1215"/>
            <w:gridCol w:w="1620"/>
          </w:tblGrid>
        </w:tblGridChange>
      </w:tblGrid>
      <w:tr>
        <w:trPr>
          <w:cantSplit w:val="0"/>
          <w:trHeight w:val="1455" w:hRule="atLeast"/>
          <w:tblHeader w:val="0"/>
        </w:trPr>
        <w:tc>
          <w:tcPr>
            <w:gridSpan w:val="6"/>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9A">
            <w:pPr>
              <w:spacing w:after="0" w:lineRule="auto"/>
              <w:jc w:val="center"/>
              <w:rPr/>
            </w:pPr>
            <w:r w:rsidDel="00000000" w:rsidR="00000000" w:rsidRPr="00000000">
              <w:rPr>
                <w:rtl w:val="0"/>
              </w:rPr>
              <w:t xml:space="preserve">Table A2 - Cocaine, Heroin, Drug Use Combined (Cocaine + Heroin), AUD, and Marijuana Use Prevalence from the NSDUH data per state in 2013-2014.</w:t>
              <w:br w:type="textWrapping"/>
              <w:t xml:space="preserve">(sorted decreasing by drug use prevalence)</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0">
            <w:pPr>
              <w:spacing w:after="0" w:lineRule="auto"/>
              <w:rPr/>
            </w:pPr>
            <w:r w:rsidDel="00000000" w:rsidR="00000000" w:rsidRPr="00000000">
              <w:rPr>
                <w:rtl w:val="0"/>
              </w:rPr>
              <w:t xml:space="preserve">State_Name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1">
            <w:pPr>
              <w:spacing w:after="0" w:lineRule="auto"/>
              <w:rPr/>
            </w:pPr>
            <w:r w:rsidDel="00000000" w:rsidR="00000000" w:rsidRPr="00000000">
              <w:rPr>
                <w:rtl w:val="0"/>
              </w:rPr>
              <w:t xml:space="preserve">Drug Use 2013-14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2">
            <w:pPr>
              <w:spacing w:after="0" w:lineRule="auto"/>
              <w:rPr/>
            </w:pPr>
            <w:r w:rsidDel="00000000" w:rsidR="00000000" w:rsidRPr="00000000">
              <w:rPr>
                <w:rtl w:val="0"/>
              </w:rPr>
              <w:t xml:space="preserve">Cocaine 2013-14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after="0" w:lineRule="auto"/>
              <w:rPr/>
            </w:pPr>
            <w:r w:rsidDel="00000000" w:rsidR="00000000" w:rsidRPr="00000000">
              <w:rPr>
                <w:rtl w:val="0"/>
              </w:rPr>
              <w:t xml:space="preserve">Heroin 2013-14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0" w:lineRule="auto"/>
              <w:rPr/>
            </w:pPr>
            <w:r w:rsidDel="00000000" w:rsidR="00000000" w:rsidRPr="00000000">
              <w:rPr>
                <w:rtl w:val="0"/>
              </w:rPr>
              <w:t xml:space="preserve">AUD 2013-14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5">
            <w:pPr>
              <w:spacing w:after="0" w:lineRule="auto"/>
              <w:rPr/>
            </w:pPr>
            <w:r w:rsidDel="00000000" w:rsidR="00000000" w:rsidRPr="00000000">
              <w:rPr>
                <w:rtl w:val="0"/>
              </w:rPr>
              <w:t xml:space="preserve">Marijuana 2013-14</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after="0" w:lineRule="auto"/>
              <w:rPr/>
            </w:pPr>
            <w:r w:rsidDel="00000000" w:rsidR="00000000" w:rsidRPr="00000000">
              <w:rPr>
                <w:rtl w:val="0"/>
              </w:rPr>
              <w:t xml:space="preserve">District of Columbia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0" w:lineRule="auto"/>
              <w:jc w:val="center"/>
              <w:rPr/>
            </w:pPr>
            <w:r w:rsidDel="00000000" w:rsidR="00000000" w:rsidRPr="00000000">
              <w:rPr>
                <w:rtl w:val="0"/>
              </w:rPr>
              <w:t xml:space="preserve">2.089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8">
            <w:pPr>
              <w:spacing w:after="0" w:lineRule="auto"/>
              <w:jc w:val="center"/>
              <w:rPr/>
            </w:pPr>
            <w:r w:rsidDel="00000000" w:rsidR="00000000" w:rsidRPr="00000000">
              <w:rPr>
                <w:rtl w:val="0"/>
              </w:rPr>
              <w:t xml:space="preserve">3.643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9">
            <w:pPr>
              <w:spacing w:after="0" w:lineRule="auto"/>
              <w:jc w:val="center"/>
              <w:rPr/>
            </w:pPr>
            <w:r w:rsidDel="00000000" w:rsidR="00000000" w:rsidRPr="00000000">
              <w:rPr>
                <w:rtl w:val="0"/>
              </w:rPr>
              <w:t xml:space="preserve">0.534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0" w:lineRule="auto"/>
              <w:jc w:val="center"/>
              <w:rPr/>
            </w:pPr>
            <w:r w:rsidDel="00000000" w:rsidR="00000000" w:rsidRPr="00000000">
              <w:rPr>
                <w:rtl w:val="0"/>
              </w:rPr>
              <w:t xml:space="preserve">10.196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0" w:lineRule="auto"/>
              <w:jc w:val="center"/>
              <w:rPr/>
            </w:pPr>
            <w:r w:rsidDel="00000000" w:rsidR="00000000" w:rsidRPr="00000000">
              <w:rPr>
                <w:rtl w:val="0"/>
              </w:rPr>
              <w:t xml:space="preserve">12.715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after="0" w:lineRule="auto"/>
              <w:rPr/>
            </w:pPr>
            <w:r w:rsidDel="00000000" w:rsidR="00000000" w:rsidRPr="00000000">
              <w:rPr>
                <w:rtl w:val="0"/>
              </w:rPr>
              <w:t xml:space="preserve">New Hampshire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D">
            <w:pPr>
              <w:spacing w:after="0" w:lineRule="auto"/>
              <w:jc w:val="center"/>
              <w:rPr/>
            </w:pPr>
            <w:r w:rsidDel="00000000" w:rsidR="00000000" w:rsidRPr="00000000">
              <w:rPr>
                <w:rtl w:val="0"/>
              </w:rPr>
              <w:t xml:space="preserve">1.598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E">
            <w:pPr>
              <w:spacing w:after="0" w:lineRule="auto"/>
              <w:jc w:val="center"/>
              <w:rPr/>
            </w:pPr>
            <w:r w:rsidDel="00000000" w:rsidR="00000000" w:rsidRPr="00000000">
              <w:rPr>
                <w:rtl w:val="0"/>
              </w:rPr>
              <w:t xml:space="preserve">2.636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AF">
            <w:pPr>
              <w:spacing w:after="0" w:lineRule="auto"/>
              <w:jc w:val="center"/>
              <w:rPr/>
            </w:pPr>
            <w:r w:rsidDel="00000000" w:rsidR="00000000" w:rsidRPr="00000000">
              <w:rPr>
                <w:rtl w:val="0"/>
              </w:rPr>
              <w:t xml:space="preserve">0.560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0" w:lineRule="auto"/>
              <w:jc w:val="center"/>
              <w:rPr/>
            </w:pPr>
            <w:r w:rsidDel="00000000" w:rsidR="00000000" w:rsidRPr="00000000">
              <w:rPr>
                <w:rtl w:val="0"/>
              </w:rPr>
              <w:t xml:space="preserve">7.982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1">
            <w:pPr>
              <w:spacing w:after="0" w:lineRule="auto"/>
              <w:jc w:val="center"/>
              <w:rPr/>
            </w:pPr>
            <w:r w:rsidDel="00000000" w:rsidR="00000000" w:rsidRPr="00000000">
              <w:rPr>
                <w:rtl w:val="0"/>
              </w:rPr>
              <w:t xml:space="preserve">11.665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2">
            <w:pPr>
              <w:spacing w:after="0" w:lineRule="auto"/>
              <w:rPr/>
            </w:pPr>
            <w:r w:rsidDel="00000000" w:rsidR="00000000" w:rsidRPr="00000000">
              <w:rPr>
                <w:rtl w:val="0"/>
              </w:rPr>
              <w:t xml:space="preserve">Delaware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3">
            <w:pPr>
              <w:spacing w:after="0" w:lineRule="auto"/>
              <w:jc w:val="center"/>
              <w:rPr/>
            </w:pPr>
            <w:r w:rsidDel="00000000" w:rsidR="00000000" w:rsidRPr="00000000">
              <w:rPr>
                <w:rtl w:val="0"/>
              </w:rPr>
              <w:t xml:space="preserve">1.597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after="0" w:lineRule="auto"/>
              <w:jc w:val="center"/>
              <w:rPr/>
            </w:pPr>
            <w:r w:rsidDel="00000000" w:rsidR="00000000" w:rsidRPr="00000000">
              <w:rPr>
                <w:rtl w:val="0"/>
              </w:rPr>
              <w:t xml:space="preserve">1.978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after="0" w:lineRule="auto"/>
              <w:jc w:val="center"/>
              <w:rPr/>
            </w:pPr>
            <w:r w:rsidDel="00000000" w:rsidR="00000000" w:rsidRPr="00000000">
              <w:rPr>
                <w:rtl w:val="0"/>
              </w:rPr>
              <w:t xml:space="preserve">1.216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6">
            <w:pPr>
              <w:spacing w:after="0" w:lineRule="auto"/>
              <w:jc w:val="center"/>
              <w:rPr/>
            </w:pPr>
            <w:r w:rsidDel="00000000" w:rsidR="00000000" w:rsidRPr="00000000">
              <w:rPr>
                <w:rtl w:val="0"/>
              </w:rPr>
              <w:t xml:space="preserve">6.529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after="0" w:lineRule="auto"/>
              <w:jc w:val="center"/>
              <w:rPr/>
            </w:pPr>
            <w:r w:rsidDel="00000000" w:rsidR="00000000" w:rsidRPr="00000000">
              <w:rPr>
                <w:rtl w:val="0"/>
              </w:rPr>
              <w:t xml:space="preserve">8.226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after="0" w:lineRule="auto"/>
              <w:rPr/>
            </w:pPr>
            <w:r w:rsidDel="00000000" w:rsidR="00000000" w:rsidRPr="00000000">
              <w:rPr>
                <w:rtl w:val="0"/>
              </w:rPr>
              <w:t xml:space="preserve">Colorado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0" w:lineRule="auto"/>
              <w:jc w:val="center"/>
              <w:rPr/>
            </w:pPr>
            <w:r w:rsidDel="00000000" w:rsidR="00000000" w:rsidRPr="00000000">
              <w:rPr>
                <w:rtl w:val="0"/>
              </w:rPr>
              <w:t xml:space="preserve">1.522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0" w:lineRule="auto"/>
              <w:jc w:val="center"/>
              <w:rPr/>
            </w:pPr>
            <w:r w:rsidDel="00000000" w:rsidR="00000000" w:rsidRPr="00000000">
              <w:rPr>
                <w:rtl w:val="0"/>
              </w:rPr>
              <w:t xml:space="preserve">2.738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after="0" w:lineRule="auto"/>
              <w:jc w:val="center"/>
              <w:rPr/>
            </w:pPr>
            <w:r w:rsidDel="00000000" w:rsidR="00000000" w:rsidRPr="00000000">
              <w:rPr>
                <w:rtl w:val="0"/>
              </w:rPr>
              <w:t xml:space="preserve">0.305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after="0" w:lineRule="auto"/>
              <w:jc w:val="center"/>
              <w:rPr/>
            </w:pPr>
            <w:r w:rsidDel="00000000" w:rsidR="00000000" w:rsidRPr="00000000">
              <w:rPr>
                <w:rtl w:val="0"/>
              </w:rPr>
              <w:t xml:space="preserve">7.927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D">
            <w:pPr>
              <w:spacing w:after="0" w:lineRule="auto"/>
              <w:jc w:val="center"/>
              <w:rPr/>
            </w:pPr>
            <w:r w:rsidDel="00000000" w:rsidR="00000000" w:rsidRPr="00000000">
              <w:rPr>
                <w:rtl w:val="0"/>
              </w:rPr>
              <w:t xml:space="preserve">15.170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after="0" w:lineRule="auto"/>
              <w:rPr/>
            </w:pPr>
            <w:r w:rsidDel="00000000" w:rsidR="00000000" w:rsidRPr="00000000">
              <w:rPr>
                <w:rtl w:val="0"/>
              </w:rPr>
              <w:t xml:space="preserve">Connecticut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0" w:lineRule="auto"/>
              <w:jc w:val="center"/>
              <w:rPr/>
            </w:pPr>
            <w:r w:rsidDel="00000000" w:rsidR="00000000" w:rsidRPr="00000000">
              <w:rPr>
                <w:rtl w:val="0"/>
              </w:rPr>
              <w:t xml:space="preserve">1.467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0">
            <w:pPr>
              <w:spacing w:after="0" w:lineRule="auto"/>
              <w:jc w:val="center"/>
              <w:rPr/>
            </w:pPr>
            <w:r w:rsidDel="00000000" w:rsidR="00000000" w:rsidRPr="00000000">
              <w:rPr>
                <w:rtl w:val="0"/>
              </w:rPr>
              <w:t xml:space="preserve">2.332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1">
            <w:pPr>
              <w:spacing w:after="0" w:lineRule="auto"/>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2">
            <w:pPr>
              <w:spacing w:after="0" w:lineRule="auto"/>
              <w:jc w:val="center"/>
              <w:rPr/>
            </w:pPr>
            <w:r w:rsidDel="00000000" w:rsidR="00000000" w:rsidRPr="00000000">
              <w:rPr>
                <w:rtl w:val="0"/>
              </w:rPr>
              <w:t xml:space="preserve">7.179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3">
            <w:pPr>
              <w:spacing w:after="0" w:lineRule="auto"/>
              <w:jc w:val="center"/>
              <w:rPr/>
            </w:pPr>
            <w:r w:rsidDel="00000000" w:rsidR="00000000" w:rsidRPr="00000000">
              <w:rPr>
                <w:rtl w:val="0"/>
              </w:rPr>
              <w:t xml:space="preserve">8.559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after="0" w:lineRule="auto"/>
              <w:rPr/>
            </w:pPr>
            <w:r w:rsidDel="00000000" w:rsidR="00000000" w:rsidRPr="00000000">
              <w:rPr>
                <w:rtl w:val="0"/>
              </w:rPr>
              <w:t xml:space="preserve">Vermont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after="0" w:lineRule="auto"/>
              <w:jc w:val="center"/>
              <w:rPr/>
            </w:pPr>
            <w:r w:rsidDel="00000000" w:rsidR="00000000" w:rsidRPr="00000000">
              <w:rPr>
                <w:rtl w:val="0"/>
              </w:rPr>
              <w:t xml:space="preserve">1.439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6">
            <w:pPr>
              <w:spacing w:after="0" w:lineRule="auto"/>
              <w:jc w:val="center"/>
              <w:rPr/>
            </w:pPr>
            <w:r w:rsidDel="00000000" w:rsidR="00000000" w:rsidRPr="00000000">
              <w:rPr>
                <w:rtl w:val="0"/>
              </w:rPr>
              <w:t xml:space="preserve">2.375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7">
            <w:pPr>
              <w:spacing w:after="0" w:lineRule="auto"/>
              <w:jc w:val="center"/>
              <w:rPr/>
            </w:pPr>
            <w:r w:rsidDel="00000000" w:rsidR="00000000" w:rsidRPr="00000000">
              <w:rPr>
                <w:rtl w:val="0"/>
              </w:rPr>
              <w:t xml:space="preserve">0.503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after="0" w:lineRule="auto"/>
              <w:jc w:val="center"/>
              <w:rPr/>
            </w:pPr>
            <w:r w:rsidDel="00000000" w:rsidR="00000000" w:rsidRPr="00000000">
              <w:rPr>
                <w:rtl w:val="0"/>
              </w:rPr>
              <w:t xml:space="preserve">7.488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after="0" w:lineRule="auto"/>
              <w:jc w:val="center"/>
              <w:rPr/>
            </w:pPr>
            <w:r w:rsidDel="00000000" w:rsidR="00000000" w:rsidRPr="00000000">
              <w:rPr>
                <w:rtl w:val="0"/>
              </w:rPr>
              <w:t xml:space="preserve">13.401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after="0" w:lineRule="auto"/>
              <w:rPr/>
            </w:pPr>
            <w:r w:rsidDel="00000000" w:rsidR="00000000" w:rsidRPr="00000000">
              <w:rPr>
                <w:rtl w:val="0"/>
              </w:rPr>
              <w:t xml:space="preserve">Massachusetts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after="0" w:lineRule="auto"/>
              <w:jc w:val="center"/>
              <w:rPr/>
            </w:pPr>
            <w:r w:rsidDel="00000000" w:rsidR="00000000" w:rsidRPr="00000000">
              <w:rPr>
                <w:rtl w:val="0"/>
              </w:rPr>
              <w:t xml:space="preserve">1.434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after="0" w:lineRule="auto"/>
              <w:jc w:val="center"/>
              <w:rPr/>
            </w:pPr>
            <w:r w:rsidDel="00000000" w:rsidR="00000000" w:rsidRPr="00000000">
              <w:rPr>
                <w:rtl w:val="0"/>
              </w:rPr>
              <w:t xml:space="preserve">2.497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0" w:lineRule="auto"/>
              <w:jc w:val="center"/>
              <w:rPr/>
            </w:pPr>
            <w:r w:rsidDel="00000000" w:rsidR="00000000" w:rsidRPr="00000000">
              <w:rPr>
                <w:rtl w:val="0"/>
              </w:rPr>
              <w:t xml:space="preserve">0.371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0" w:lineRule="auto"/>
              <w:jc w:val="center"/>
              <w:rPr/>
            </w:pPr>
            <w:r w:rsidDel="00000000" w:rsidR="00000000" w:rsidRPr="00000000">
              <w:rPr>
                <w:rtl w:val="0"/>
              </w:rPr>
              <w:t xml:space="preserve">7.003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0" w:lineRule="auto"/>
              <w:jc w:val="center"/>
              <w:rPr/>
            </w:pPr>
            <w:r w:rsidDel="00000000" w:rsidR="00000000" w:rsidRPr="00000000">
              <w:rPr>
                <w:rtl w:val="0"/>
              </w:rPr>
              <w:t xml:space="preserve">12.013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after="0" w:lineRule="auto"/>
              <w:rPr/>
            </w:pPr>
            <w:r w:rsidDel="00000000" w:rsidR="00000000" w:rsidRPr="00000000">
              <w:rPr>
                <w:rtl w:val="0"/>
              </w:rPr>
              <w:t xml:space="preserve">New York</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1">
            <w:pPr>
              <w:spacing w:after="0" w:lineRule="auto"/>
              <w:jc w:val="center"/>
              <w:rPr/>
            </w:pPr>
            <w:r w:rsidDel="00000000" w:rsidR="00000000" w:rsidRPr="00000000">
              <w:rPr>
                <w:rtl w:val="0"/>
              </w:rPr>
              <w:t xml:space="preserve">1.419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after="0" w:lineRule="auto"/>
              <w:jc w:val="center"/>
              <w:rPr/>
            </w:pPr>
            <w:r w:rsidDel="00000000" w:rsidR="00000000" w:rsidRPr="00000000">
              <w:rPr>
                <w:rtl w:val="0"/>
              </w:rPr>
              <w:t xml:space="preserve">2.431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after="0" w:lineRule="auto"/>
              <w:jc w:val="center"/>
              <w:rPr/>
            </w:pPr>
            <w:r w:rsidDel="00000000" w:rsidR="00000000" w:rsidRPr="00000000">
              <w:rPr>
                <w:rtl w:val="0"/>
              </w:rPr>
              <w:t xml:space="preserve">0.406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after="0" w:lineRule="auto"/>
              <w:jc w:val="center"/>
              <w:rPr/>
            </w:pPr>
            <w:r w:rsidDel="00000000" w:rsidR="00000000" w:rsidRPr="00000000">
              <w:rPr>
                <w:rtl w:val="0"/>
              </w:rPr>
              <w:t xml:space="preserve">6.971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after="0" w:lineRule="auto"/>
              <w:jc w:val="center"/>
              <w:rPr/>
            </w:pPr>
            <w:r w:rsidDel="00000000" w:rsidR="00000000" w:rsidRPr="00000000">
              <w:rPr>
                <w:rtl w:val="0"/>
              </w:rPr>
              <w:t xml:space="preserve">8.596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6">
            <w:pPr>
              <w:spacing w:after="0" w:lineRule="auto"/>
              <w:rPr/>
            </w:pPr>
            <w:r w:rsidDel="00000000" w:rsidR="00000000" w:rsidRPr="00000000">
              <w:rPr>
                <w:rtl w:val="0"/>
              </w:rPr>
              <w:t xml:space="preserve">Arizona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after="0" w:lineRule="auto"/>
              <w:jc w:val="center"/>
              <w:rPr/>
            </w:pPr>
            <w:r w:rsidDel="00000000" w:rsidR="00000000" w:rsidRPr="00000000">
              <w:rPr>
                <w:rtl w:val="0"/>
              </w:rPr>
              <w:t xml:space="preserve">1.359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after="0" w:lineRule="auto"/>
              <w:jc w:val="center"/>
              <w:rPr/>
            </w:pPr>
            <w:r w:rsidDel="00000000" w:rsidR="00000000" w:rsidRPr="00000000">
              <w:rPr>
                <w:rtl w:val="0"/>
              </w:rPr>
              <w:t xml:space="preserve">2.384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9">
            <w:pPr>
              <w:spacing w:after="0" w:lineRule="auto"/>
              <w:jc w:val="center"/>
              <w:rPr/>
            </w:pPr>
            <w:r w:rsidDel="00000000" w:rsidR="00000000" w:rsidRPr="00000000">
              <w:rPr>
                <w:rtl w:val="0"/>
              </w:rPr>
              <w:t xml:space="preserve">0.335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after="0" w:lineRule="auto"/>
              <w:jc w:val="center"/>
              <w:rPr/>
            </w:pPr>
            <w:r w:rsidDel="00000000" w:rsidR="00000000" w:rsidRPr="00000000">
              <w:rPr>
                <w:rtl w:val="0"/>
              </w:rPr>
              <w:t xml:space="preserve">8.063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after="0" w:lineRule="auto"/>
              <w:jc w:val="center"/>
              <w:rPr/>
            </w:pPr>
            <w:r w:rsidDel="00000000" w:rsidR="00000000" w:rsidRPr="00000000">
              <w:rPr>
                <w:rtl w:val="0"/>
              </w:rPr>
              <w:t xml:space="preserve">8.850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after="0" w:lineRule="auto"/>
              <w:rPr/>
            </w:pPr>
            <w:r w:rsidDel="00000000" w:rsidR="00000000" w:rsidRPr="00000000">
              <w:rPr>
                <w:rtl w:val="0"/>
              </w:rPr>
              <w:t xml:space="preserve">New Mexico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after="0" w:lineRule="auto"/>
              <w:jc w:val="center"/>
              <w:rPr/>
            </w:pPr>
            <w:r w:rsidDel="00000000" w:rsidR="00000000" w:rsidRPr="00000000">
              <w:rPr>
                <w:rtl w:val="0"/>
              </w:rPr>
              <w:t xml:space="preserve">1.314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0" w:lineRule="auto"/>
              <w:jc w:val="center"/>
              <w:rPr/>
            </w:pPr>
            <w:r w:rsidDel="00000000" w:rsidR="00000000" w:rsidRPr="00000000">
              <w:rPr>
                <w:rtl w:val="0"/>
              </w:rPr>
              <w:t xml:space="preserve">2.303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after="0" w:lineRule="auto"/>
              <w:jc w:val="center"/>
              <w:rPr/>
            </w:pPr>
            <w:r w:rsidDel="00000000" w:rsidR="00000000" w:rsidRPr="00000000">
              <w:rPr>
                <w:rtl w:val="0"/>
              </w:rPr>
              <w:t xml:space="preserve">0.326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after="0" w:lineRule="auto"/>
              <w:jc w:val="center"/>
              <w:rPr/>
            </w:pPr>
            <w:r w:rsidDel="00000000" w:rsidR="00000000" w:rsidRPr="00000000">
              <w:rPr>
                <w:rtl w:val="0"/>
              </w:rPr>
              <w:t xml:space="preserve">7.367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0" w:lineRule="auto"/>
              <w:jc w:val="center"/>
              <w:rPr/>
            </w:pPr>
            <w:r w:rsidDel="00000000" w:rsidR="00000000" w:rsidRPr="00000000">
              <w:rPr>
                <w:rtl w:val="0"/>
              </w:rPr>
              <w:t xml:space="preserve">9.726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0" w:lineRule="auto"/>
              <w:rPr/>
            </w:pPr>
            <w:r w:rsidDel="00000000" w:rsidR="00000000" w:rsidRPr="00000000">
              <w:rPr>
                <w:rtl w:val="0"/>
              </w:rPr>
              <w:t xml:space="preserve">Oregon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0" w:lineRule="auto"/>
              <w:jc w:val="center"/>
              <w:rPr/>
            </w:pPr>
            <w:r w:rsidDel="00000000" w:rsidR="00000000" w:rsidRPr="00000000">
              <w:rPr>
                <w:rtl w:val="0"/>
              </w:rPr>
              <w:t xml:space="preserve">1.240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after="0" w:lineRule="auto"/>
              <w:jc w:val="center"/>
              <w:rPr/>
            </w:pPr>
            <w:r w:rsidDel="00000000" w:rsidR="00000000" w:rsidRPr="00000000">
              <w:rPr>
                <w:rtl w:val="0"/>
              </w:rPr>
              <w:t xml:space="preserve">2.116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0" w:lineRule="auto"/>
              <w:jc w:val="center"/>
              <w:rPr/>
            </w:pPr>
            <w:r w:rsidDel="00000000" w:rsidR="00000000" w:rsidRPr="00000000">
              <w:rPr>
                <w:rtl w:val="0"/>
              </w:rPr>
              <w:t xml:space="preserve">0.364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after="0" w:lineRule="auto"/>
              <w:jc w:val="center"/>
              <w:rPr/>
            </w:pPr>
            <w:r w:rsidDel="00000000" w:rsidR="00000000" w:rsidRPr="00000000">
              <w:rPr>
                <w:rtl w:val="0"/>
              </w:rPr>
              <w:t xml:space="preserve">7.312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7">
            <w:pPr>
              <w:spacing w:after="0" w:lineRule="auto"/>
              <w:jc w:val="center"/>
              <w:rPr/>
            </w:pPr>
            <w:r w:rsidDel="00000000" w:rsidR="00000000" w:rsidRPr="00000000">
              <w:rPr>
                <w:rtl w:val="0"/>
              </w:rPr>
              <w:t xml:space="preserve">12.591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8">
            <w:pPr>
              <w:spacing w:after="0" w:lineRule="auto"/>
              <w:rPr/>
            </w:pPr>
            <w:r w:rsidDel="00000000" w:rsidR="00000000" w:rsidRPr="00000000">
              <w:rPr>
                <w:rtl w:val="0"/>
              </w:rPr>
              <w:t xml:space="preserve">California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after="0" w:lineRule="auto"/>
              <w:jc w:val="center"/>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0" w:lineRule="auto"/>
              <w:jc w:val="center"/>
              <w:rPr/>
            </w:pPr>
            <w:r w:rsidDel="00000000" w:rsidR="00000000" w:rsidRPr="00000000">
              <w:rPr>
                <w:rtl w:val="0"/>
              </w:rPr>
              <w:t xml:space="preserve">2.269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B">
            <w:pPr>
              <w:spacing w:after="0" w:lineRule="auto"/>
              <w:jc w:val="center"/>
              <w:rPr/>
            </w:pPr>
            <w:r w:rsidDel="00000000" w:rsidR="00000000" w:rsidRPr="00000000">
              <w:rPr>
                <w:rtl w:val="0"/>
              </w:rPr>
              <w:t xml:space="preserve">0.204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C">
            <w:pPr>
              <w:spacing w:after="0" w:lineRule="auto"/>
              <w:jc w:val="center"/>
              <w:rPr/>
            </w:pPr>
            <w:r w:rsidDel="00000000" w:rsidR="00000000" w:rsidRPr="00000000">
              <w:rPr>
                <w:rtl w:val="0"/>
              </w:rPr>
              <w:t xml:space="preserve">7.068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D">
            <w:pPr>
              <w:spacing w:after="0" w:lineRule="auto"/>
              <w:jc w:val="center"/>
              <w:rPr/>
            </w:pPr>
            <w:r w:rsidDel="00000000" w:rsidR="00000000" w:rsidRPr="00000000">
              <w:rPr>
                <w:rtl w:val="0"/>
              </w:rPr>
              <w:t xml:space="preserve">9.253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after="0" w:lineRule="auto"/>
              <w:rPr/>
            </w:pPr>
            <w:r w:rsidDel="00000000" w:rsidR="00000000" w:rsidRPr="00000000">
              <w:rPr>
                <w:rtl w:val="0"/>
              </w:rPr>
              <w:t xml:space="preserve">Rhode Island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after="0" w:lineRule="auto"/>
              <w:jc w:val="center"/>
              <w:rPr/>
            </w:pPr>
            <w:r w:rsidDel="00000000" w:rsidR="00000000" w:rsidRPr="00000000">
              <w:rPr>
                <w:rtl w:val="0"/>
              </w:rPr>
              <w:t xml:space="preserve">1.218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0">
            <w:pPr>
              <w:spacing w:after="0" w:lineRule="auto"/>
              <w:jc w:val="center"/>
              <w:rPr/>
            </w:pPr>
            <w:r w:rsidDel="00000000" w:rsidR="00000000" w:rsidRPr="00000000">
              <w:rPr>
                <w:rtl w:val="0"/>
              </w:rPr>
              <w:t xml:space="preserve">2.128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1">
            <w:pPr>
              <w:spacing w:after="0" w:lineRule="auto"/>
              <w:jc w:val="center"/>
              <w:rPr/>
            </w:pPr>
            <w:r w:rsidDel="00000000" w:rsidR="00000000" w:rsidRPr="00000000">
              <w:rPr>
                <w:rtl w:val="0"/>
              </w:rPr>
              <w:t xml:space="preserve">0.309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after="0" w:lineRule="auto"/>
              <w:jc w:val="center"/>
              <w:rPr/>
            </w:pPr>
            <w:r w:rsidDel="00000000" w:rsidR="00000000" w:rsidRPr="00000000">
              <w:rPr>
                <w:rtl w:val="0"/>
              </w:rPr>
              <w:t xml:space="preserve">8.146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after="0" w:lineRule="auto"/>
              <w:jc w:val="center"/>
              <w:rPr/>
            </w:pPr>
            <w:r w:rsidDel="00000000" w:rsidR="00000000" w:rsidRPr="00000000">
              <w:rPr>
                <w:rtl w:val="0"/>
              </w:rPr>
              <w:t xml:space="preserve">12.942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4">
            <w:pPr>
              <w:spacing w:after="0" w:lineRule="auto"/>
              <w:rPr/>
            </w:pPr>
            <w:r w:rsidDel="00000000" w:rsidR="00000000" w:rsidRPr="00000000">
              <w:rPr>
                <w:rtl w:val="0"/>
              </w:rPr>
              <w:t xml:space="preserve">Alaska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5">
            <w:pPr>
              <w:spacing w:after="0" w:lineRule="auto"/>
              <w:jc w:val="center"/>
              <w:rPr/>
            </w:pPr>
            <w:r w:rsidDel="00000000" w:rsidR="00000000" w:rsidRPr="00000000">
              <w:rPr>
                <w:rtl w:val="0"/>
              </w:rPr>
              <w:t xml:space="preserve">1.211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after="0" w:lineRule="auto"/>
              <w:jc w:val="center"/>
              <w:rPr/>
            </w:pPr>
            <w:r w:rsidDel="00000000" w:rsidR="00000000" w:rsidRPr="00000000">
              <w:rPr>
                <w:rtl w:val="0"/>
              </w:rPr>
              <w:t xml:space="preserve">1.653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after="0" w:lineRule="auto"/>
              <w:jc w:val="center"/>
              <w:rPr/>
            </w:pPr>
            <w:r w:rsidDel="00000000" w:rsidR="00000000" w:rsidRPr="00000000">
              <w:rPr>
                <w:rtl w:val="0"/>
              </w:rPr>
              <w:t xml:space="preserve">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after="0" w:lineRule="auto"/>
              <w:jc w:val="center"/>
              <w:rPr/>
            </w:pPr>
            <w:r w:rsidDel="00000000" w:rsidR="00000000" w:rsidRPr="00000000">
              <w:rPr>
                <w:rtl w:val="0"/>
              </w:rPr>
              <w:t xml:space="preserve">7.249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9">
            <w:pPr>
              <w:spacing w:after="0" w:lineRule="auto"/>
              <w:jc w:val="center"/>
              <w:rPr/>
            </w:pPr>
            <w:r w:rsidDel="00000000" w:rsidR="00000000" w:rsidRPr="00000000">
              <w:rPr>
                <w:rtl w:val="0"/>
              </w:rPr>
              <w:t xml:space="preserve">12.160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after="0" w:lineRule="auto"/>
              <w:rPr/>
            </w:pPr>
            <w:r w:rsidDel="00000000" w:rsidR="00000000" w:rsidRPr="00000000">
              <w:rPr>
                <w:rtl w:val="0"/>
              </w:rPr>
              <w:t xml:space="preserve">Washington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after="0" w:lineRule="auto"/>
              <w:jc w:val="center"/>
              <w:rPr/>
            </w:pPr>
            <w:r w:rsidDel="00000000" w:rsidR="00000000" w:rsidRPr="00000000">
              <w:rPr>
                <w:rtl w:val="0"/>
              </w:rPr>
              <w:t xml:space="preserve">1.210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C">
            <w:pPr>
              <w:spacing w:after="0" w:lineRule="auto"/>
              <w:jc w:val="center"/>
              <w:rPr/>
            </w:pPr>
            <w:r w:rsidDel="00000000" w:rsidR="00000000" w:rsidRPr="00000000">
              <w:rPr>
                <w:rtl w:val="0"/>
              </w:rPr>
              <w:t xml:space="preserve">2.041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after="0" w:lineRule="auto"/>
              <w:jc w:val="center"/>
              <w:rPr/>
            </w:pPr>
            <w:r w:rsidDel="00000000" w:rsidR="00000000" w:rsidRPr="00000000">
              <w:rPr>
                <w:rtl w:val="0"/>
              </w:rPr>
              <w:t xml:space="preserve">0.380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0" w:lineRule="auto"/>
              <w:jc w:val="center"/>
              <w:rPr/>
            </w:pPr>
            <w:r w:rsidDel="00000000" w:rsidR="00000000" w:rsidRPr="00000000">
              <w:rPr>
                <w:rtl w:val="0"/>
              </w:rPr>
              <w:t xml:space="preserve">6.928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3FF">
            <w:pPr>
              <w:spacing w:after="0" w:lineRule="auto"/>
              <w:jc w:val="center"/>
              <w:rPr/>
            </w:pPr>
            <w:r w:rsidDel="00000000" w:rsidR="00000000" w:rsidRPr="00000000">
              <w:rPr>
                <w:rtl w:val="0"/>
              </w:rPr>
              <w:t xml:space="preserve">13.064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0">
            <w:pPr>
              <w:spacing w:after="0" w:lineRule="auto"/>
              <w:rPr/>
            </w:pPr>
            <w:r w:rsidDel="00000000" w:rsidR="00000000" w:rsidRPr="00000000">
              <w:rPr>
                <w:rtl w:val="0"/>
              </w:rPr>
              <w:t xml:space="preserve">Florida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1">
            <w:pPr>
              <w:spacing w:after="0" w:lineRule="auto"/>
              <w:jc w:val="center"/>
              <w:rPr/>
            </w:pPr>
            <w:r w:rsidDel="00000000" w:rsidR="00000000" w:rsidRPr="00000000">
              <w:rPr>
                <w:rtl w:val="0"/>
              </w:rPr>
              <w:t xml:space="preserve">1.210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2">
            <w:pPr>
              <w:spacing w:after="0" w:lineRule="auto"/>
              <w:jc w:val="center"/>
              <w:rPr/>
            </w:pPr>
            <w:r w:rsidDel="00000000" w:rsidR="00000000" w:rsidRPr="00000000">
              <w:rPr>
                <w:rtl w:val="0"/>
              </w:rPr>
              <w:t xml:space="preserve">2.090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3">
            <w:pPr>
              <w:spacing w:after="0" w:lineRule="auto"/>
              <w:jc w:val="center"/>
              <w:rPr/>
            </w:pPr>
            <w:r w:rsidDel="00000000" w:rsidR="00000000" w:rsidRPr="00000000">
              <w:rPr>
                <w:rtl w:val="0"/>
              </w:rPr>
              <w:t xml:space="preserve">0.330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after="0" w:lineRule="auto"/>
              <w:jc w:val="center"/>
              <w:rPr/>
            </w:pPr>
            <w:r w:rsidDel="00000000" w:rsidR="00000000" w:rsidRPr="00000000">
              <w:rPr>
                <w:rtl w:val="0"/>
              </w:rPr>
              <w:t xml:space="preserve">6.306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5">
            <w:pPr>
              <w:spacing w:after="0" w:lineRule="auto"/>
              <w:jc w:val="center"/>
              <w:rPr/>
            </w:pPr>
            <w:r w:rsidDel="00000000" w:rsidR="00000000" w:rsidRPr="00000000">
              <w:rPr>
                <w:rtl w:val="0"/>
              </w:rPr>
              <w:t xml:space="preserve">7.589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after="0" w:lineRule="auto"/>
              <w:rPr/>
            </w:pPr>
            <w:r w:rsidDel="00000000" w:rsidR="00000000" w:rsidRPr="00000000">
              <w:rPr>
                <w:rtl w:val="0"/>
              </w:rPr>
              <w:t xml:space="preserve">Wisconsin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7">
            <w:pPr>
              <w:spacing w:after="0" w:lineRule="auto"/>
              <w:jc w:val="center"/>
              <w:rPr/>
            </w:pPr>
            <w:r w:rsidDel="00000000" w:rsidR="00000000" w:rsidRPr="00000000">
              <w:rPr>
                <w:rtl w:val="0"/>
              </w:rPr>
              <w:t xml:space="preserve">1.109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8">
            <w:pPr>
              <w:spacing w:after="0" w:lineRule="auto"/>
              <w:jc w:val="center"/>
              <w:rPr/>
            </w:pPr>
            <w:r w:rsidDel="00000000" w:rsidR="00000000" w:rsidRPr="00000000">
              <w:rPr>
                <w:rtl w:val="0"/>
              </w:rPr>
              <w:t xml:space="preserve">1.935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9">
            <w:pPr>
              <w:spacing w:after="0" w:lineRule="auto"/>
              <w:jc w:val="center"/>
              <w:rPr/>
            </w:pPr>
            <w:r w:rsidDel="00000000" w:rsidR="00000000" w:rsidRPr="00000000">
              <w:rPr>
                <w:rtl w:val="0"/>
              </w:rPr>
              <w:t xml:space="preserve">0.283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after="0" w:lineRule="auto"/>
              <w:jc w:val="center"/>
              <w:rPr/>
            </w:pPr>
            <w:r w:rsidDel="00000000" w:rsidR="00000000" w:rsidRPr="00000000">
              <w:rPr>
                <w:rtl w:val="0"/>
              </w:rPr>
              <w:t xml:space="preserve">8.190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after="0" w:lineRule="auto"/>
              <w:jc w:val="center"/>
              <w:rPr/>
            </w:pPr>
            <w:r w:rsidDel="00000000" w:rsidR="00000000" w:rsidRPr="00000000">
              <w:rPr>
                <w:rtl w:val="0"/>
              </w:rPr>
              <w:t xml:space="preserve">6.386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after="0" w:lineRule="auto"/>
              <w:rPr/>
            </w:pPr>
            <w:r w:rsidDel="00000000" w:rsidR="00000000" w:rsidRPr="00000000">
              <w:rPr>
                <w:rtl w:val="0"/>
              </w:rPr>
              <w:t xml:space="preserve">Kentucky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after="0" w:lineRule="auto"/>
              <w:jc w:val="center"/>
              <w:rPr/>
            </w:pPr>
            <w:r w:rsidDel="00000000" w:rsidR="00000000" w:rsidRPr="00000000">
              <w:rPr>
                <w:rtl w:val="0"/>
              </w:rPr>
              <w:t xml:space="preserve">1.108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E">
            <w:pPr>
              <w:spacing w:after="0" w:lineRule="auto"/>
              <w:jc w:val="center"/>
              <w:rPr/>
            </w:pPr>
            <w:r w:rsidDel="00000000" w:rsidR="00000000" w:rsidRPr="00000000">
              <w:rPr>
                <w:rtl w:val="0"/>
              </w:rPr>
              <w:t xml:space="preserve">1.673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after="0" w:lineRule="auto"/>
              <w:jc w:val="center"/>
              <w:rPr/>
            </w:pPr>
            <w:r w:rsidDel="00000000" w:rsidR="00000000" w:rsidRPr="00000000">
              <w:rPr>
                <w:rtl w:val="0"/>
              </w:rPr>
              <w:t xml:space="preserve">0.542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0">
            <w:pPr>
              <w:spacing w:after="0" w:lineRule="auto"/>
              <w:jc w:val="center"/>
              <w:rPr/>
            </w:pPr>
            <w:r w:rsidDel="00000000" w:rsidR="00000000" w:rsidRPr="00000000">
              <w:rPr>
                <w:rtl w:val="0"/>
              </w:rPr>
              <w:t xml:space="preserve">5.857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1">
            <w:pPr>
              <w:spacing w:after="0" w:lineRule="auto"/>
              <w:jc w:val="center"/>
              <w:rPr/>
            </w:pPr>
            <w:r w:rsidDel="00000000" w:rsidR="00000000" w:rsidRPr="00000000">
              <w:rPr>
                <w:rtl w:val="0"/>
              </w:rPr>
              <w:t xml:space="preserve">6.863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after="0" w:lineRule="auto"/>
              <w:rPr/>
            </w:pPr>
            <w:r w:rsidDel="00000000" w:rsidR="00000000" w:rsidRPr="00000000">
              <w:rPr>
                <w:rtl w:val="0"/>
              </w:rPr>
              <w:t xml:space="preserve">Pennsylvania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3">
            <w:pPr>
              <w:spacing w:after="0" w:lineRule="auto"/>
              <w:jc w:val="center"/>
              <w:rPr/>
            </w:pPr>
            <w:r w:rsidDel="00000000" w:rsidR="00000000" w:rsidRPr="00000000">
              <w:rPr>
                <w:rtl w:val="0"/>
              </w:rPr>
              <w:t xml:space="preserve">1.074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4">
            <w:pPr>
              <w:spacing w:after="0" w:lineRule="auto"/>
              <w:jc w:val="center"/>
              <w:rPr/>
            </w:pPr>
            <w:r w:rsidDel="00000000" w:rsidR="00000000" w:rsidRPr="00000000">
              <w:rPr>
                <w:rtl w:val="0"/>
              </w:rPr>
              <w:t xml:space="preserve">1.624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after="0" w:lineRule="auto"/>
              <w:jc w:val="center"/>
              <w:rPr/>
            </w:pPr>
            <w:r w:rsidDel="00000000" w:rsidR="00000000" w:rsidRPr="00000000">
              <w:rPr>
                <w:rtl w:val="0"/>
              </w:rPr>
              <w:t xml:space="preserve">0.524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after="0" w:lineRule="auto"/>
              <w:jc w:val="center"/>
              <w:rPr/>
            </w:pPr>
            <w:r w:rsidDel="00000000" w:rsidR="00000000" w:rsidRPr="00000000">
              <w:rPr>
                <w:rtl w:val="0"/>
              </w:rPr>
              <w:t xml:space="preserve">7.012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7">
            <w:pPr>
              <w:spacing w:after="0" w:lineRule="auto"/>
              <w:jc w:val="center"/>
              <w:rPr/>
            </w:pPr>
            <w:r w:rsidDel="00000000" w:rsidR="00000000" w:rsidRPr="00000000">
              <w:rPr>
                <w:rtl w:val="0"/>
              </w:rPr>
              <w:t xml:space="preserve">7.308</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after="0" w:lineRule="auto"/>
              <w:rPr/>
            </w:pPr>
            <w:r w:rsidDel="00000000" w:rsidR="00000000" w:rsidRPr="00000000">
              <w:rPr>
                <w:rtl w:val="0"/>
              </w:rPr>
              <w:t xml:space="preserve">Illinois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0" w:lineRule="auto"/>
              <w:jc w:val="center"/>
              <w:rPr/>
            </w:pPr>
            <w:r w:rsidDel="00000000" w:rsidR="00000000" w:rsidRPr="00000000">
              <w:rPr>
                <w:rtl w:val="0"/>
              </w:rPr>
              <w:t xml:space="preserve">1.071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A">
            <w:pPr>
              <w:spacing w:after="0" w:lineRule="auto"/>
              <w:jc w:val="center"/>
              <w:rPr/>
            </w:pPr>
            <w:r w:rsidDel="00000000" w:rsidR="00000000" w:rsidRPr="00000000">
              <w:rPr>
                <w:rtl w:val="0"/>
              </w:rPr>
              <w:t xml:space="preserve">1.845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after="0" w:lineRule="auto"/>
              <w:jc w:val="center"/>
              <w:rPr/>
            </w:pPr>
            <w:r w:rsidDel="00000000" w:rsidR="00000000" w:rsidRPr="00000000">
              <w:rPr>
                <w:rtl w:val="0"/>
              </w:rPr>
              <w:t xml:space="preserve">0.297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after="0" w:lineRule="auto"/>
              <w:jc w:val="center"/>
              <w:rPr/>
            </w:pPr>
            <w:r w:rsidDel="00000000" w:rsidR="00000000" w:rsidRPr="00000000">
              <w:rPr>
                <w:rtl w:val="0"/>
              </w:rPr>
              <w:t xml:space="preserve">6.578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D">
            <w:pPr>
              <w:spacing w:after="0" w:lineRule="auto"/>
              <w:jc w:val="center"/>
              <w:rPr/>
            </w:pPr>
            <w:r w:rsidDel="00000000" w:rsidR="00000000" w:rsidRPr="00000000">
              <w:rPr>
                <w:rtl w:val="0"/>
              </w:rPr>
              <w:t xml:space="preserve">7.735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after="0" w:lineRule="auto"/>
              <w:rPr/>
            </w:pPr>
            <w:r w:rsidDel="00000000" w:rsidR="00000000" w:rsidRPr="00000000">
              <w:rPr>
                <w:rtl w:val="0"/>
              </w:rPr>
              <w:t xml:space="preserve">Louisiana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after="0" w:lineRule="auto"/>
              <w:jc w:val="center"/>
              <w:rPr/>
            </w:pPr>
            <w:r w:rsidDel="00000000" w:rsidR="00000000" w:rsidRPr="00000000">
              <w:rPr>
                <w:rtl w:val="0"/>
              </w:rPr>
              <w:t xml:space="preserve">1.029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0">
            <w:pPr>
              <w:spacing w:after="0" w:lineRule="auto"/>
              <w:jc w:val="center"/>
              <w:rPr/>
            </w:pPr>
            <w:r w:rsidDel="00000000" w:rsidR="00000000" w:rsidRPr="00000000">
              <w:rPr>
                <w:rtl w:val="0"/>
              </w:rPr>
              <w:t xml:space="preserve">1.747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after="0" w:lineRule="auto"/>
              <w:jc w:val="center"/>
              <w:rPr/>
            </w:pPr>
            <w:r w:rsidDel="00000000" w:rsidR="00000000" w:rsidRPr="00000000">
              <w:rPr>
                <w:rtl w:val="0"/>
              </w:rPr>
              <w:t xml:space="preserve">0.311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0" w:lineRule="auto"/>
              <w:jc w:val="center"/>
              <w:rPr/>
            </w:pPr>
            <w:r w:rsidDel="00000000" w:rsidR="00000000" w:rsidRPr="00000000">
              <w:rPr>
                <w:rtl w:val="0"/>
              </w:rPr>
              <w:t xml:space="preserve">6.401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3">
            <w:pPr>
              <w:spacing w:after="0" w:lineRule="auto"/>
              <w:jc w:val="center"/>
              <w:rPr/>
            </w:pPr>
            <w:r w:rsidDel="00000000" w:rsidR="00000000" w:rsidRPr="00000000">
              <w:rPr>
                <w:rtl w:val="0"/>
              </w:rPr>
              <w:t xml:space="preserve">6.175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after="0" w:lineRule="auto"/>
              <w:rPr/>
            </w:pPr>
            <w:r w:rsidDel="00000000" w:rsidR="00000000" w:rsidRPr="00000000">
              <w:rPr>
                <w:rtl w:val="0"/>
              </w:rPr>
              <w:t xml:space="preserve">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after="0" w:lineRule="auto"/>
              <w:jc w:val="center"/>
              <w:rPr/>
            </w:pPr>
            <w:r w:rsidDel="00000000" w:rsidR="00000000" w:rsidRPr="00000000">
              <w:rPr>
                <w:rtl w:val="0"/>
              </w:rPr>
              <w:t xml:space="preserve">1.016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6">
            <w:pPr>
              <w:spacing w:after="0" w:lineRule="auto"/>
              <w:jc w:val="center"/>
              <w:rPr/>
            </w:pPr>
            <w:r w:rsidDel="00000000" w:rsidR="00000000" w:rsidRPr="00000000">
              <w:rPr>
                <w:rtl w:val="0"/>
              </w:rPr>
              <w:t xml:space="preserve">1.679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7">
            <w:pPr>
              <w:spacing w:after="0" w:lineRule="auto"/>
              <w:jc w:val="center"/>
              <w:rPr/>
            </w:pPr>
            <w:r w:rsidDel="00000000" w:rsidR="00000000" w:rsidRPr="00000000">
              <w:rPr>
                <w:rtl w:val="0"/>
              </w:rPr>
              <w:t xml:space="preserve">0.354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after="0" w:lineRule="auto"/>
              <w:jc w:val="center"/>
              <w:rPr/>
            </w:pPr>
            <w:r w:rsidDel="00000000" w:rsidR="00000000" w:rsidRPr="00000000">
              <w:rPr>
                <w:rtl w:val="0"/>
              </w:rPr>
              <w:t xml:space="preserve">7.504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9">
            <w:pPr>
              <w:spacing w:after="0" w:lineRule="auto"/>
              <w:jc w:val="center"/>
              <w:rPr/>
            </w:pPr>
            <w:r w:rsidDel="00000000" w:rsidR="00000000" w:rsidRPr="00000000">
              <w:rPr>
                <w:rtl w:val="0"/>
              </w:rPr>
              <w:t xml:space="preserve">6.957</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A">
            <w:pPr>
              <w:spacing w:after="0" w:lineRule="auto"/>
              <w:rPr/>
            </w:pPr>
            <w:r w:rsidDel="00000000" w:rsidR="00000000" w:rsidRPr="00000000">
              <w:rPr>
                <w:rtl w:val="0"/>
              </w:rPr>
              <w:t xml:space="preserve">Maine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B">
            <w:pPr>
              <w:spacing w:after="0" w:lineRule="auto"/>
              <w:jc w:val="center"/>
              <w:rPr/>
            </w:pPr>
            <w:r w:rsidDel="00000000" w:rsidR="00000000" w:rsidRPr="00000000">
              <w:rPr>
                <w:rtl w:val="0"/>
              </w:rPr>
              <w:t xml:space="preserve">1.004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C">
            <w:pPr>
              <w:spacing w:after="0" w:lineRule="auto"/>
              <w:jc w:val="center"/>
              <w:rPr/>
            </w:pPr>
            <w:r w:rsidDel="00000000" w:rsidR="00000000" w:rsidRPr="00000000">
              <w:rPr>
                <w:rtl w:val="0"/>
              </w:rPr>
              <w:t xml:space="preserve">1.488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D">
            <w:pPr>
              <w:spacing w:after="0" w:lineRule="auto"/>
              <w:jc w:val="center"/>
              <w:rPr/>
            </w:pPr>
            <w:r w:rsidDel="00000000" w:rsidR="00000000" w:rsidRPr="00000000">
              <w:rPr>
                <w:rtl w:val="0"/>
              </w:rPr>
              <w:t xml:space="preserve">0.520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after="0" w:lineRule="auto"/>
              <w:jc w:val="center"/>
              <w:rPr/>
            </w:pPr>
            <w:r w:rsidDel="00000000" w:rsidR="00000000" w:rsidRPr="00000000">
              <w:rPr>
                <w:rtl w:val="0"/>
              </w:rPr>
              <w:t xml:space="preserve">5.970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2F">
            <w:pPr>
              <w:spacing w:after="0" w:lineRule="auto"/>
              <w:jc w:val="center"/>
              <w:rPr/>
            </w:pPr>
            <w:r w:rsidDel="00000000" w:rsidR="00000000" w:rsidRPr="00000000">
              <w:rPr>
                <w:rtl w:val="0"/>
              </w:rPr>
              <w:t xml:space="preserve">12.914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after="0" w:lineRule="auto"/>
              <w:rPr/>
            </w:pPr>
            <w:r w:rsidDel="00000000" w:rsidR="00000000" w:rsidRPr="00000000">
              <w:rPr>
                <w:rtl w:val="0"/>
              </w:rPr>
              <w:t xml:space="preserve">Nevada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1">
            <w:pPr>
              <w:spacing w:after="0" w:lineRule="auto"/>
              <w:jc w:val="center"/>
              <w:rPr/>
            </w:pPr>
            <w:r w:rsidDel="00000000" w:rsidR="00000000" w:rsidRPr="00000000">
              <w:rPr>
                <w:rtl w:val="0"/>
              </w:rPr>
              <w:t xml:space="preserve">0.975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after="0" w:lineRule="auto"/>
              <w:jc w:val="center"/>
              <w:rPr/>
            </w:pPr>
            <w:r w:rsidDel="00000000" w:rsidR="00000000" w:rsidRPr="00000000">
              <w:rPr>
                <w:rtl w:val="0"/>
              </w:rPr>
              <w:t xml:space="preserve">1.699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after="0" w:lineRule="auto"/>
              <w:jc w:val="center"/>
              <w:rPr/>
            </w:pPr>
            <w:r w:rsidDel="00000000" w:rsidR="00000000" w:rsidRPr="00000000">
              <w:rPr>
                <w:rtl w:val="0"/>
              </w:rPr>
              <w:t xml:space="preserve">0.251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4">
            <w:pPr>
              <w:spacing w:after="0" w:lineRule="auto"/>
              <w:jc w:val="center"/>
              <w:rPr/>
            </w:pPr>
            <w:r w:rsidDel="00000000" w:rsidR="00000000" w:rsidRPr="00000000">
              <w:rPr>
                <w:rtl w:val="0"/>
              </w:rPr>
              <w:t xml:space="preserve">7.169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5">
            <w:pPr>
              <w:spacing w:after="0" w:lineRule="auto"/>
              <w:jc w:val="center"/>
              <w:rPr/>
            </w:pPr>
            <w:r w:rsidDel="00000000" w:rsidR="00000000" w:rsidRPr="00000000">
              <w:rPr>
                <w:rtl w:val="0"/>
              </w:rPr>
              <w:t xml:space="preserve">7.743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0" w:lineRule="auto"/>
              <w:rPr/>
            </w:pPr>
            <w:r w:rsidDel="00000000" w:rsidR="00000000" w:rsidRPr="00000000">
              <w:rPr>
                <w:rtl w:val="0"/>
              </w:rPr>
              <w:t xml:space="preserve">Ohio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after="0" w:lineRule="auto"/>
              <w:jc w:val="center"/>
              <w:rPr/>
            </w:pPr>
            <w:r w:rsidDel="00000000" w:rsidR="00000000" w:rsidRPr="00000000">
              <w:rPr>
                <w:rtl w:val="0"/>
              </w:rPr>
              <w:t xml:space="preserve">0.966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8">
            <w:pPr>
              <w:spacing w:after="0" w:lineRule="auto"/>
              <w:jc w:val="center"/>
              <w:rPr/>
            </w:pPr>
            <w:r w:rsidDel="00000000" w:rsidR="00000000" w:rsidRPr="00000000">
              <w:rPr>
                <w:rtl w:val="0"/>
              </w:rPr>
              <w:t xml:space="preserve">1.485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9">
            <w:pPr>
              <w:spacing w:after="0" w:lineRule="auto"/>
              <w:jc w:val="center"/>
              <w:rPr/>
            </w:pPr>
            <w:r w:rsidDel="00000000" w:rsidR="00000000" w:rsidRPr="00000000">
              <w:rPr>
                <w:rtl w:val="0"/>
              </w:rPr>
              <w:t xml:space="preserve">0.446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after="0" w:lineRule="auto"/>
              <w:jc w:val="center"/>
              <w:rPr/>
            </w:pPr>
            <w:r w:rsidDel="00000000" w:rsidR="00000000" w:rsidRPr="00000000">
              <w:rPr>
                <w:rtl w:val="0"/>
              </w:rPr>
              <w:t xml:space="preserve">7.074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after="0" w:lineRule="auto"/>
              <w:jc w:val="center"/>
              <w:rPr/>
            </w:pPr>
            <w:r w:rsidDel="00000000" w:rsidR="00000000" w:rsidRPr="00000000">
              <w:rPr>
                <w:rtl w:val="0"/>
              </w:rPr>
              <w:t xml:space="preserve">7.023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after="0" w:lineRule="auto"/>
              <w:rPr/>
            </w:pPr>
            <w:r w:rsidDel="00000000" w:rsidR="00000000" w:rsidRPr="00000000">
              <w:rPr>
                <w:rtl w:val="0"/>
              </w:rPr>
              <w:t xml:space="preserve">Maryland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after="0" w:lineRule="auto"/>
              <w:jc w:val="center"/>
              <w:rPr/>
            </w:pPr>
            <w:r w:rsidDel="00000000" w:rsidR="00000000" w:rsidRPr="00000000">
              <w:rPr>
                <w:rtl w:val="0"/>
              </w:rPr>
              <w:t xml:space="preserve">0.961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after="0" w:lineRule="auto"/>
              <w:jc w:val="center"/>
              <w:rPr/>
            </w:pPr>
            <w:r w:rsidDel="00000000" w:rsidR="00000000" w:rsidRPr="00000000">
              <w:rPr>
                <w:rtl w:val="0"/>
              </w:rPr>
              <w:t xml:space="preserve">1.441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0" w:lineRule="auto"/>
              <w:jc w:val="center"/>
              <w:rPr/>
            </w:pPr>
            <w:r w:rsidDel="00000000" w:rsidR="00000000" w:rsidRPr="00000000">
              <w:rPr>
                <w:rtl w:val="0"/>
              </w:rPr>
              <w:t xml:space="preserve">0.480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after="0" w:lineRule="auto"/>
              <w:jc w:val="center"/>
              <w:rPr/>
            </w:pPr>
            <w:r w:rsidDel="00000000" w:rsidR="00000000" w:rsidRPr="00000000">
              <w:rPr>
                <w:rtl w:val="0"/>
              </w:rPr>
              <w:t xml:space="preserve">7.060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1">
            <w:pPr>
              <w:spacing w:after="0" w:lineRule="auto"/>
              <w:jc w:val="center"/>
              <w:rPr/>
            </w:pPr>
            <w:r w:rsidDel="00000000" w:rsidR="00000000" w:rsidRPr="00000000">
              <w:rPr>
                <w:rtl w:val="0"/>
              </w:rPr>
              <w:t xml:space="preserve">8.605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2">
            <w:pPr>
              <w:spacing w:after="0" w:lineRule="auto"/>
              <w:rPr/>
            </w:pPr>
            <w:r w:rsidDel="00000000" w:rsidR="00000000" w:rsidRPr="00000000">
              <w:rPr>
                <w:rtl w:val="0"/>
              </w:rPr>
              <w:t xml:space="preserve">New Jersey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after="0" w:lineRule="auto"/>
              <w:jc w:val="center"/>
              <w:rPr/>
            </w:pPr>
            <w:r w:rsidDel="00000000" w:rsidR="00000000" w:rsidRPr="00000000">
              <w:rPr>
                <w:rtl w:val="0"/>
              </w:rPr>
              <w:t xml:space="preserve">0.946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4">
            <w:pPr>
              <w:spacing w:after="0" w:lineRule="auto"/>
              <w:jc w:val="center"/>
              <w:rPr/>
            </w:pPr>
            <w:r w:rsidDel="00000000" w:rsidR="00000000" w:rsidRPr="00000000">
              <w:rPr>
                <w:rtl w:val="0"/>
              </w:rPr>
              <w:t xml:space="preserve">1.412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5">
            <w:pPr>
              <w:spacing w:after="0" w:lineRule="auto"/>
              <w:jc w:val="center"/>
              <w:rPr/>
            </w:pPr>
            <w:r w:rsidDel="00000000" w:rsidR="00000000" w:rsidRPr="00000000">
              <w:rPr>
                <w:rtl w:val="0"/>
              </w:rPr>
              <w:t xml:space="preserve">0.481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6">
            <w:pPr>
              <w:spacing w:after="0" w:lineRule="auto"/>
              <w:jc w:val="center"/>
              <w:rPr/>
            </w:pPr>
            <w:r w:rsidDel="00000000" w:rsidR="00000000" w:rsidRPr="00000000">
              <w:rPr>
                <w:rtl w:val="0"/>
              </w:rPr>
              <w:t xml:space="preserve">6.816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7">
            <w:pPr>
              <w:spacing w:after="0" w:lineRule="auto"/>
              <w:jc w:val="center"/>
              <w:rPr/>
            </w:pPr>
            <w:r w:rsidDel="00000000" w:rsidR="00000000" w:rsidRPr="00000000">
              <w:rPr>
                <w:rtl w:val="0"/>
              </w:rPr>
              <w:t xml:space="preserve">6.294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8">
            <w:pPr>
              <w:spacing w:after="0" w:lineRule="auto"/>
              <w:rPr/>
            </w:pPr>
            <w:r w:rsidDel="00000000" w:rsidR="00000000" w:rsidRPr="00000000">
              <w:rPr>
                <w:rtl w:val="0"/>
              </w:rPr>
              <w:t xml:space="preserve">North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after="0" w:lineRule="auto"/>
              <w:jc w:val="center"/>
              <w:rPr/>
            </w:pPr>
            <w:r w:rsidDel="00000000" w:rsidR="00000000" w:rsidRPr="00000000">
              <w:rPr>
                <w:rtl w:val="0"/>
              </w:rPr>
              <w:t xml:space="preserve">0.936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A">
            <w:pPr>
              <w:spacing w:after="0" w:lineRule="auto"/>
              <w:jc w:val="center"/>
              <w:rPr/>
            </w:pPr>
            <w:r w:rsidDel="00000000" w:rsidR="00000000" w:rsidRPr="00000000">
              <w:rPr>
                <w:rtl w:val="0"/>
              </w:rPr>
              <w:t xml:space="preserve">1.534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after="0" w:lineRule="auto"/>
              <w:jc w:val="center"/>
              <w:rPr/>
            </w:pPr>
            <w:r w:rsidDel="00000000" w:rsidR="00000000" w:rsidRPr="00000000">
              <w:rPr>
                <w:rtl w:val="0"/>
              </w:rPr>
              <w:t xml:space="preserve">0.338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after="0" w:lineRule="auto"/>
              <w:jc w:val="center"/>
              <w:rPr/>
            </w:pPr>
            <w:r w:rsidDel="00000000" w:rsidR="00000000" w:rsidRPr="00000000">
              <w:rPr>
                <w:rtl w:val="0"/>
              </w:rPr>
              <w:t xml:space="preserve">6.508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D">
            <w:pPr>
              <w:spacing w:after="0" w:lineRule="auto"/>
              <w:jc w:val="center"/>
              <w:rPr/>
            </w:pPr>
            <w:r w:rsidDel="00000000" w:rsidR="00000000" w:rsidRPr="00000000">
              <w:rPr>
                <w:rtl w:val="0"/>
              </w:rPr>
              <w:t xml:space="preserve">6.724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E">
            <w:pPr>
              <w:spacing w:after="0" w:lineRule="auto"/>
              <w:rPr/>
            </w:pPr>
            <w:r w:rsidDel="00000000" w:rsidR="00000000" w:rsidRPr="00000000">
              <w:rPr>
                <w:rtl w:val="0"/>
              </w:rPr>
              <w:t xml:space="preserve">Hawaii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after="0" w:lineRule="auto"/>
              <w:jc w:val="center"/>
              <w:rPr/>
            </w:pPr>
            <w:r w:rsidDel="00000000" w:rsidR="00000000" w:rsidRPr="00000000">
              <w:rPr>
                <w:rtl w:val="0"/>
              </w:rPr>
              <w:t xml:space="preserve">0.889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after="0" w:lineRule="auto"/>
              <w:jc w:val="center"/>
              <w:rPr/>
            </w:pPr>
            <w:r w:rsidDel="00000000" w:rsidR="00000000" w:rsidRPr="00000000">
              <w:rPr>
                <w:rtl w:val="0"/>
              </w:rPr>
              <w:t xml:space="preserve">1.649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after="0" w:lineRule="auto"/>
              <w:jc w:val="center"/>
              <w:rPr/>
            </w:pPr>
            <w:r w:rsidDel="00000000" w:rsidR="00000000" w:rsidRPr="00000000">
              <w:rPr>
                <w:rtl w:val="0"/>
              </w:rPr>
              <w:t xml:space="preserve">0.130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after="0" w:lineRule="auto"/>
              <w:jc w:val="center"/>
              <w:rPr/>
            </w:pPr>
            <w:r w:rsidDel="00000000" w:rsidR="00000000" w:rsidRPr="00000000">
              <w:rPr>
                <w:rtl w:val="0"/>
              </w:rPr>
              <w:t xml:space="preserve">7.193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3">
            <w:pPr>
              <w:spacing w:after="0" w:lineRule="auto"/>
              <w:jc w:val="center"/>
              <w:rPr/>
            </w:pPr>
            <w:r w:rsidDel="00000000" w:rsidR="00000000" w:rsidRPr="00000000">
              <w:rPr>
                <w:rtl w:val="0"/>
              </w:rPr>
              <w:t xml:space="preserve">7.924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after="0" w:lineRule="auto"/>
              <w:rPr/>
            </w:pPr>
            <w:r w:rsidDel="00000000" w:rsidR="00000000" w:rsidRPr="00000000">
              <w:rPr>
                <w:rtl w:val="0"/>
              </w:rPr>
              <w:t xml:space="preserve">Georgia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after="0" w:lineRule="auto"/>
              <w:jc w:val="center"/>
              <w:rPr/>
            </w:pPr>
            <w:r w:rsidDel="00000000" w:rsidR="00000000" w:rsidRPr="00000000">
              <w:rPr>
                <w:rtl w:val="0"/>
              </w:rPr>
              <w:t xml:space="preserve">0.871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6">
            <w:pPr>
              <w:spacing w:after="0" w:lineRule="auto"/>
              <w:jc w:val="center"/>
              <w:rPr/>
            </w:pPr>
            <w:r w:rsidDel="00000000" w:rsidR="00000000" w:rsidRPr="00000000">
              <w:rPr>
                <w:rtl w:val="0"/>
              </w:rPr>
              <w:t xml:space="preserve">1.553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7">
            <w:pPr>
              <w:spacing w:after="0" w:lineRule="auto"/>
              <w:jc w:val="center"/>
              <w:rPr/>
            </w:pPr>
            <w:r w:rsidDel="00000000" w:rsidR="00000000" w:rsidRPr="00000000">
              <w:rPr>
                <w:rtl w:val="0"/>
              </w:rPr>
              <w:t xml:space="preserve">0.190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0" w:lineRule="auto"/>
              <w:jc w:val="center"/>
              <w:rPr/>
            </w:pPr>
            <w:r w:rsidDel="00000000" w:rsidR="00000000" w:rsidRPr="00000000">
              <w:rPr>
                <w:rtl w:val="0"/>
              </w:rPr>
              <w:t xml:space="preserve">6.613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9">
            <w:pPr>
              <w:spacing w:after="0" w:lineRule="auto"/>
              <w:jc w:val="center"/>
              <w:rPr/>
            </w:pPr>
            <w:r w:rsidDel="00000000" w:rsidR="00000000" w:rsidRPr="00000000">
              <w:rPr>
                <w:rtl w:val="0"/>
              </w:rPr>
              <w:t xml:space="preserve">7.957</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after="0" w:lineRule="auto"/>
              <w:rPr/>
            </w:pPr>
            <w:r w:rsidDel="00000000" w:rsidR="00000000" w:rsidRPr="00000000">
              <w:rPr>
                <w:rtl w:val="0"/>
              </w:rPr>
              <w:t xml:space="preserve">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after="0" w:lineRule="auto"/>
              <w:jc w:val="center"/>
              <w:rPr/>
            </w:pPr>
            <w:r w:rsidDel="00000000" w:rsidR="00000000" w:rsidRPr="00000000">
              <w:rPr>
                <w:rtl w:val="0"/>
              </w:rPr>
              <w:t xml:space="preserve">0.849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C">
            <w:pPr>
              <w:spacing w:after="0" w:lineRule="auto"/>
              <w:jc w:val="center"/>
              <w:rPr/>
            </w:pPr>
            <w:r w:rsidDel="00000000" w:rsidR="00000000" w:rsidRPr="00000000">
              <w:rPr>
                <w:rtl w:val="0"/>
              </w:rPr>
              <w:t xml:space="preserve">1.460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D">
            <w:pPr>
              <w:spacing w:after="0" w:lineRule="auto"/>
              <w:jc w:val="center"/>
              <w:rPr/>
            </w:pPr>
            <w:r w:rsidDel="00000000" w:rsidR="00000000" w:rsidRPr="00000000">
              <w:rPr>
                <w:rtl w:val="0"/>
              </w:rPr>
              <w:t xml:space="preserve">0.239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after="0" w:lineRule="auto"/>
              <w:jc w:val="center"/>
              <w:rPr/>
            </w:pPr>
            <w:r w:rsidDel="00000000" w:rsidR="00000000" w:rsidRPr="00000000">
              <w:rPr>
                <w:rtl w:val="0"/>
              </w:rPr>
              <w:t xml:space="preserve">7.921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after="0" w:lineRule="auto"/>
              <w:jc w:val="center"/>
              <w:rPr/>
            </w:pPr>
            <w:r w:rsidDel="00000000" w:rsidR="00000000" w:rsidRPr="00000000">
              <w:rPr>
                <w:rtl w:val="0"/>
              </w:rPr>
              <w:t xml:space="preserve">6.393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after="0" w:lineRule="auto"/>
              <w:rPr/>
            </w:pPr>
            <w:r w:rsidDel="00000000" w:rsidR="00000000" w:rsidRPr="00000000">
              <w:rPr>
                <w:rtl w:val="0"/>
              </w:rPr>
              <w:t xml:space="preserve">North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after="0" w:lineRule="auto"/>
              <w:jc w:val="center"/>
              <w:rPr/>
            </w:pPr>
            <w:r w:rsidDel="00000000" w:rsidR="00000000" w:rsidRPr="00000000">
              <w:rPr>
                <w:rtl w:val="0"/>
              </w:rPr>
              <w:t xml:space="preserve">0.847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after="0" w:lineRule="auto"/>
              <w:jc w:val="center"/>
              <w:rPr/>
            </w:pPr>
            <w:r w:rsidDel="00000000" w:rsidR="00000000" w:rsidRPr="00000000">
              <w:rPr>
                <w:rtl w:val="0"/>
              </w:rPr>
              <w:t xml:space="preserve">1.353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after="0" w:lineRule="auto"/>
              <w:jc w:val="center"/>
              <w:rPr/>
            </w:pPr>
            <w:r w:rsidDel="00000000" w:rsidR="00000000" w:rsidRPr="00000000">
              <w:rPr>
                <w:rtl w:val="0"/>
              </w:rPr>
              <w:t xml:space="preserve">0.341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4">
            <w:pPr>
              <w:spacing w:after="0" w:lineRule="auto"/>
              <w:jc w:val="center"/>
              <w:rPr/>
            </w:pPr>
            <w:r w:rsidDel="00000000" w:rsidR="00000000" w:rsidRPr="00000000">
              <w:rPr>
                <w:rtl w:val="0"/>
              </w:rPr>
              <w:t xml:space="preserve">8.150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5">
            <w:pPr>
              <w:spacing w:after="0" w:lineRule="auto"/>
              <w:jc w:val="center"/>
              <w:rPr/>
            </w:pPr>
            <w:r w:rsidDel="00000000" w:rsidR="00000000" w:rsidRPr="00000000">
              <w:rPr>
                <w:rtl w:val="0"/>
              </w:rPr>
              <w:t xml:space="preserve">5.791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after="0" w:lineRule="auto"/>
              <w:rPr/>
            </w:pPr>
            <w:r w:rsidDel="00000000" w:rsidR="00000000" w:rsidRPr="00000000">
              <w:rPr>
                <w:rtl w:val="0"/>
              </w:rPr>
              <w:t xml:space="preserve">Wyoming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7">
            <w:pPr>
              <w:spacing w:after="0" w:lineRule="auto"/>
              <w:jc w:val="center"/>
              <w:rPr/>
            </w:pPr>
            <w:r w:rsidDel="00000000" w:rsidR="00000000" w:rsidRPr="00000000">
              <w:rPr>
                <w:rtl w:val="0"/>
              </w:rPr>
              <w:t xml:space="preserve">0.842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8">
            <w:pPr>
              <w:spacing w:after="0" w:lineRule="auto"/>
              <w:jc w:val="center"/>
              <w:rPr/>
            </w:pPr>
            <w:r w:rsidDel="00000000" w:rsidR="00000000" w:rsidRPr="00000000">
              <w:rPr>
                <w:rtl w:val="0"/>
              </w:rPr>
              <w:t xml:space="preserve">1.271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9">
            <w:pPr>
              <w:spacing w:after="0" w:lineRule="auto"/>
              <w:jc w:val="center"/>
              <w:rPr/>
            </w:pPr>
            <w:r w:rsidDel="00000000" w:rsidR="00000000" w:rsidRPr="00000000">
              <w:rPr>
                <w:rtl w:val="0"/>
              </w:rPr>
              <w:t xml:space="preserve">0.413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0" w:lineRule="auto"/>
              <w:jc w:val="center"/>
              <w:rPr/>
            </w:pPr>
            <w:r w:rsidDel="00000000" w:rsidR="00000000" w:rsidRPr="00000000">
              <w:rPr>
                <w:rtl w:val="0"/>
              </w:rPr>
              <w:t xml:space="preserve">7.949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after="0" w:lineRule="auto"/>
              <w:jc w:val="center"/>
              <w:rPr/>
            </w:pPr>
            <w:r w:rsidDel="00000000" w:rsidR="00000000" w:rsidRPr="00000000">
              <w:rPr>
                <w:rtl w:val="0"/>
              </w:rPr>
              <w:t xml:space="preserve">6.329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C">
            <w:pPr>
              <w:spacing w:after="0" w:lineRule="auto"/>
              <w:rPr/>
            </w:pPr>
            <w:r w:rsidDel="00000000" w:rsidR="00000000" w:rsidRPr="00000000">
              <w:rPr>
                <w:rtl w:val="0"/>
              </w:rPr>
              <w:t xml:space="preserve">Indiana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after="0" w:lineRule="auto"/>
              <w:jc w:val="center"/>
              <w:rPr/>
            </w:pPr>
            <w:r w:rsidDel="00000000" w:rsidR="00000000" w:rsidRPr="00000000">
              <w:rPr>
                <w:rtl w:val="0"/>
              </w:rPr>
              <w:t xml:space="preserve">0.824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after="0" w:lineRule="auto"/>
              <w:jc w:val="center"/>
              <w:rPr/>
            </w:pPr>
            <w:r w:rsidDel="00000000" w:rsidR="00000000" w:rsidRPr="00000000">
              <w:rPr>
                <w:rtl w:val="0"/>
              </w:rPr>
              <w:t xml:space="preserve">1.290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after="0" w:lineRule="auto"/>
              <w:jc w:val="center"/>
              <w:rPr/>
            </w:pPr>
            <w:r w:rsidDel="00000000" w:rsidR="00000000" w:rsidRPr="00000000">
              <w:rPr>
                <w:rtl w:val="0"/>
              </w:rPr>
              <w:t xml:space="preserve">0.358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0">
            <w:pPr>
              <w:spacing w:after="0" w:lineRule="auto"/>
              <w:jc w:val="center"/>
              <w:rPr/>
            </w:pPr>
            <w:r w:rsidDel="00000000" w:rsidR="00000000" w:rsidRPr="00000000">
              <w:rPr>
                <w:rtl w:val="0"/>
              </w:rPr>
              <w:t xml:space="preserve">7.097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after="0" w:lineRule="auto"/>
              <w:jc w:val="center"/>
              <w:rPr/>
            </w:pPr>
            <w:r w:rsidDel="00000000" w:rsidR="00000000" w:rsidRPr="00000000">
              <w:rPr>
                <w:rtl w:val="0"/>
              </w:rPr>
              <w:t xml:space="preserve">7.638</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after="0" w:lineRule="auto"/>
              <w:rPr/>
            </w:pPr>
            <w:r w:rsidDel="00000000" w:rsidR="00000000" w:rsidRPr="00000000">
              <w:rPr>
                <w:rtl w:val="0"/>
              </w:rPr>
              <w:t xml:space="preserve">Texas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after="0" w:lineRule="auto"/>
              <w:jc w:val="center"/>
              <w:rPr/>
            </w:pPr>
            <w:r w:rsidDel="00000000" w:rsidR="00000000" w:rsidRPr="00000000">
              <w:rPr>
                <w:rtl w:val="0"/>
              </w:rPr>
              <w:t xml:space="preserve">0.793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4">
            <w:pPr>
              <w:spacing w:after="0" w:lineRule="auto"/>
              <w:jc w:val="center"/>
              <w:rPr/>
            </w:pPr>
            <w:r w:rsidDel="00000000" w:rsidR="00000000" w:rsidRPr="00000000">
              <w:rPr>
                <w:rtl w:val="0"/>
              </w:rPr>
              <w:t xml:space="preserve">1.409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after="0" w:lineRule="auto"/>
              <w:jc w:val="center"/>
              <w:rPr/>
            </w:pPr>
            <w:r w:rsidDel="00000000" w:rsidR="00000000" w:rsidRPr="00000000">
              <w:rPr>
                <w:rtl w:val="0"/>
              </w:rPr>
              <w:t xml:space="preserve">0.176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0" w:lineRule="auto"/>
              <w:jc w:val="center"/>
              <w:rPr/>
            </w:pPr>
            <w:r w:rsidDel="00000000" w:rsidR="00000000" w:rsidRPr="00000000">
              <w:rPr>
                <w:rtl w:val="0"/>
              </w:rPr>
              <w:t xml:space="preserve">6.952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7">
            <w:pPr>
              <w:spacing w:after="0" w:lineRule="auto"/>
              <w:jc w:val="center"/>
              <w:rPr/>
            </w:pPr>
            <w:r w:rsidDel="00000000" w:rsidR="00000000" w:rsidRPr="00000000">
              <w:rPr>
                <w:rtl w:val="0"/>
              </w:rPr>
              <w:t xml:space="preserve">5.919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8">
            <w:pPr>
              <w:spacing w:after="0" w:lineRule="auto"/>
              <w:rPr/>
            </w:pPr>
            <w:r w:rsidDel="00000000" w:rsidR="00000000" w:rsidRPr="00000000">
              <w:rPr>
                <w:rtl w:val="0"/>
              </w:rPr>
              <w:t xml:space="preserve">Minnesota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9">
            <w:pPr>
              <w:spacing w:after="0" w:lineRule="auto"/>
              <w:jc w:val="center"/>
              <w:rPr/>
            </w:pPr>
            <w:r w:rsidDel="00000000" w:rsidR="00000000" w:rsidRPr="00000000">
              <w:rPr>
                <w:rtl w:val="0"/>
              </w:rPr>
              <w:t xml:space="preserve">0.784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A">
            <w:pPr>
              <w:spacing w:after="0" w:lineRule="auto"/>
              <w:jc w:val="center"/>
              <w:rPr/>
            </w:pPr>
            <w:r w:rsidDel="00000000" w:rsidR="00000000" w:rsidRPr="00000000">
              <w:rPr>
                <w:rtl w:val="0"/>
              </w:rPr>
              <w:t xml:space="preserve">1.309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B">
            <w:pPr>
              <w:spacing w:after="0" w:lineRule="auto"/>
              <w:jc w:val="center"/>
              <w:rPr/>
            </w:pPr>
            <w:r w:rsidDel="00000000" w:rsidR="00000000" w:rsidRPr="00000000">
              <w:rPr>
                <w:rtl w:val="0"/>
              </w:rPr>
              <w:t xml:space="preserve">0.259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C">
            <w:pPr>
              <w:spacing w:after="0" w:lineRule="auto"/>
              <w:jc w:val="center"/>
              <w:rPr/>
            </w:pPr>
            <w:r w:rsidDel="00000000" w:rsidR="00000000" w:rsidRPr="00000000">
              <w:rPr>
                <w:rtl w:val="0"/>
              </w:rPr>
              <w:t xml:space="preserve">6.723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D">
            <w:pPr>
              <w:spacing w:after="0" w:lineRule="auto"/>
              <w:jc w:val="center"/>
              <w:rPr/>
            </w:pPr>
            <w:r w:rsidDel="00000000" w:rsidR="00000000" w:rsidRPr="00000000">
              <w:rPr>
                <w:rtl w:val="0"/>
              </w:rPr>
              <w:t xml:space="preserve">7.335</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E">
            <w:pPr>
              <w:spacing w:after="0" w:lineRule="auto"/>
              <w:rPr/>
            </w:pPr>
            <w:r w:rsidDel="00000000" w:rsidR="00000000" w:rsidRPr="00000000">
              <w:rPr>
                <w:rtl w:val="0"/>
              </w:rPr>
              <w:t xml:space="preserve">Nebraska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after="0" w:lineRule="auto"/>
              <w:jc w:val="center"/>
              <w:rPr/>
            </w:pPr>
            <w:r w:rsidDel="00000000" w:rsidR="00000000" w:rsidRPr="00000000">
              <w:rPr>
                <w:rtl w:val="0"/>
              </w:rPr>
              <w:t xml:space="preserve">0.771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after="0" w:lineRule="auto"/>
              <w:jc w:val="center"/>
              <w:rPr/>
            </w:pPr>
            <w:r w:rsidDel="00000000" w:rsidR="00000000" w:rsidRPr="00000000">
              <w:rPr>
                <w:rtl w:val="0"/>
              </w:rPr>
              <w:t xml:space="preserve">1.234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1">
            <w:pPr>
              <w:spacing w:after="0" w:lineRule="auto"/>
              <w:jc w:val="center"/>
              <w:rPr/>
            </w:pPr>
            <w:r w:rsidDel="00000000" w:rsidR="00000000" w:rsidRPr="00000000">
              <w:rPr>
                <w:rtl w:val="0"/>
              </w:rPr>
              <w:t xml:space="preserve">0.308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0" w:lineRule="auto"/>
              <w:jc w:val="center"/>
              <w:rPr/>
            </w:pPr>
            <w:r w:rsidDel="00000000" w:rsidR="00000000" w:rsidRPr="00000000">
              <w:rPr>
                <w:rtl w:val="0"/>
              </w:rPr>
              <w:t xml:space="preserve">8.030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3">
            <w:pPr>
              <w:spacing w:after="0" w:lineRule="auto"/>
              <w:jc w:val="center"/>
              <w:rPr/>
            </w:pPr>
            <w:r w:rsidDel="00000000" w:rsidR="00000000" w:rsidRPr="00000000">
              <w:rPr>
                <w:rtl w:val="0"/>
              </w:rPr>
              <w:t xml:space="preserve">5.812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4">
            <w:pPr>
              <w:spacing w:after="0" w:lineRule="auto"/>
              <w:rPr/>
            </w:pPr>
            <w:r w:rsidDel="00000000" w:rsidR="00000000" w:rsidRPr="00000000">
              <w:rPr>
                <w:rtl w:val="0"/>
              </w:rPr>
              <w:t xml:space="preserve">Iowa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5">
            <w:pPr>
              <w:spacing w:after="0" w:lineRule="auto"/>
              <w:jc w:val="center"/>
              <w:rPr/>
            </w:pPr>
            <w:r w:rsidDel="00000000" w:rsidR="00000000" w:rsidRPr="00000000">
              <w:rPr>
                <w:rtl w:val="0"/>
              </w:rPr>
              <w:t xml:space="preserve">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6">
            <w:pPr>
              <w:spacing w:after="0" w:lineRule="auto"/>
              <w:jc w:val="center"/>
              <w:rPr/>
            </w:pPr>
            <w:r w:rsidDel="00000000" w:rsidR="00000000" w:rsidRPr="00000000">
              <w:rPr>
                <w:rtl w:val="0"/>
              </w:rPr>
              <w:t xml:space="preserve">1.358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7">
            <w:pPr>
              <w:spacing w:after="0" w:lineRule="auto"/>
              <w:jc w:val="center"/>
              <w:rPr/>
            </w:pPr>
            <w:r w:rsidDel="00000000" w:rsidR="00000000" w:rsidRPr="00000000">
              <w:rPr>
                <w:rtl w:val="0"/>
              </w:rPr>
              <w:t xml:space="preserve">0.180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8">
            <w:pPr>
              <w:spacing w:after="0" w:lineRule="auto"/>
              <w:jc w:val="center"/>
              <w:rPr/>
            </w:pPr>
            <w:r w:rsidDel="00000000" w:rsidR="00000000" w:rsidRPr="00000000">
              <w:rPr>
                <w:rtl w:val="0"/>
              </w:rPr>
              <w:t xml:space="preserve">6.593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9">
            <w:pPr>
              <w:spacing w:after="0" w:lineRule="auto"/>
              <w:jc w:val="center"/>
              <w:rPr/>
            </w:pPr>
            <w:r w:rsidDel="00000000" w:rsidR="00000000" w:rsidRPr="00000000">
              <w:rPr>
                <w:rtl w:val="0"/>
              </w:rPr>
              <w:t xml:space="preserve">5.002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after="0" w:lineRule="auto"/>
              <w:rPr/>
            </w:pPr>
            <w:r w:rsidDel="00000000" w:rsidR="00000000" w:rsidRPr="00000000">
              <w:rPr>
                <w:rtl w:val="0"/>
              </w:rPr>
              <w:t xml:space="preserve">Montana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after="0" w:lineRule="auto"/>
              <w:jc w:val="center"/>
              <w:rPr/>
            </w:pPr>
            <w:r w:rsidDel="00000000" w:rsidR="00000000" w:rsidRPr="00000000">
              <w:rPr>
                <w:rtl w:val="0"/>
              </w:rPr>
              <w:t xml:space="preserve">0.769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C">
            <w:pPr>
              <w:spacing w:after="0" w:lineRule="auto"/>
              <w:jc w:val="center"/>
              <w:rPr/>
            </w:pPr>
            <w:r w:rsidDel="00000000" w:rsidR="00000000" w:rsidRPr="00000000">
              <w:rPr>
                <w:rtl w:val="0"/>
              </w:rPr>
              <w:t xml:space="preserve">1.291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D">
            <w:pPr>
              <w:spacing w:after="0" w:lineRule="auto"/>
              <w:jc w:val="center"/>
              <w:rPr/>
            </w:pPr>
            <w:r w:rsidDel="00000000" w:rsidR="00000000" w:rsidRPr="00000000">
              <w:rPr>
                <w:rtl w:val="0"/>
              </w:rPr>
              <w:t xml:space="preserve">0.247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E">
            <w:pPr>
              <w:spacing w:after="0" w:lineRule="auto"/>
              <w:jc w:val="center"/>
              <w:rPr/>
            </w:pPr>
            <w:r w:rsidDel="00000000" w:rsidR="00000000" w:rsidRPr="00000000">
              <w:rPr>
                <w:rtl w:val="0"/>
              </w:rPr>
              <w:t xml:space="preserve">8.042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after="0" w:lineRule="auto"/>
              <w:jc w:val="center"/>
              <w:rPr/>
            </w:pPr>
            <w:r w:rsidDel="00000000" w:rsidR="00000000" w:rsidRPr="00000000">
              <w:rPr>
                <w:rtl w:val="0"/>
              </w:rPr>
              <w:t xml:space="preserve">10.200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0">
            <w:pPr>
              <w:spacing w:after="0" w:lineRule="auto"/>
              <w:rPr/>
            </w:pPr>
            <w:r w:rsidDel="00000000" w:rsidR="00000000" w:rsidRPr="00000000">
              <w:rPr>
                <w:rtl w:val="0"/>
              </w:rPr>
              <w:t xml:space="preserve">Alabama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1">
            <w:pPr>
              <w:spacing w:after="0" w:lineRule="auto"/>
              <w:jc w:val="center"/>
              <w:rPr/>
            </w:pPr>
            <w:r w:rsidDel="00000000" w:rsidR="00000000" w:rsidRPr="00000000">
              <w:rPr>
                <w:rtl w:val="0"/>
              </w:rPr>
              <w:t xml:space="preserve">0.768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2">
            <w:pPr>
              <w:spacing w:after="0" w:lineRule="auto"/>
              <w:jc w:val="center"/>
              <w:rPr/>
            </w:pPr>
            <w:r w:rsidDel="00000000" w:rsidR="00000000" w:rsidRPr="00000000">
              <w:rPr>
                <w:rtl w:val="0"/>
              </w:rPr>
              <w:t xml:space="preserve">1.309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after="0" w:lineRule="auto"/>
              <w:jc w:val="center"/>
              <w:rPr/>
            </w:pPr>
            <w:r w:rsidDel="00000000" w:rsidR="00000000" w:rsidRPr="00000000">
              <w:rPr>
                <w:rtl w:val="0"/>
              </w:rPr>
              <w:t xml:space="preserve">0.228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4">
            <w:pPr>
              <w:spacing w:after="0" w:lineRule="auto"/>
              <w:jc w:val="center"/>
              <w:rPr/>
            </w:pPr>
            <w:r w:rsidDel="00000000" w:rsidR="00000000" w:rsidRPr="00000000">
              <w:rPr>
                <w:rtl w:val="0"/>
              </w:rPr>
              <w:t xml:space="preserve">6.065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5">
            <w:pPr>
              <w:spacing w:after="0" w:lineRule="auto"/>
              <w:jc w:val="center"/>
              <w:rPr/>
            </w:pPr>
            <w:r w:rsidDel="00000000" w:rsidR="00000000" w:rsidRPr="00000000">
              <w:rPr>
                <w:rtl w:val="0"/>
              </w:rPr>
              <w:t xml:space="preserve">5.629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6">
            <w:pPr>
              <w:spacing w:after="0" w:lineRule="auto"/>
              <w:rPr/>
            </w:pPr>
            <w:r w:rsidDel="00000000" w:rsidR="00000000" w:rsidRPr="00000000">
              <w:rPr>
                <w:rtl w:val="0"/>
              </w:rPr>
              <w:t xml:space="preserve">West 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7">
            <w:pPr>
              <w:spacing w:after="0" w:lineRule="auto"/>
              <w:jc w:val="center"/>
              <w:rPr/>
            </w:pPr>
            <w:r w:rsidDel="00000000" w:rsidR="00000000" w:rsidRPr="00000000">
              <w:rPr>
                <w:rtl w:val="0"/>
              </w:rPr>
              <w:t xml:space="preserve">0.756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8">
            <w:pPr>
              <w:spacing w:after="0" w:lineRule="auto"/>
              <w:jc w:val="center"/>
              <w:rPr/>
            </w:pPr>
            <w:r w:rsidDel="00000000" w:rsidR="00000000" w:rsidRPr="00000000">
              <w:rPr>
                <w:rtl w:val="0"/>
              </w:rPr>
              <w:t xml:space="preserve">1.246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after="0" w:lineRule="auto"/>
              <w:jc w:val="center"/>
              <w:rPr/>
            </w:pPr>
            <w:r w:rsidDel="00000000" w:rsidR="00000000" w:rsidRPr="00000000">
              <w:rPr>
                <w:rtl w:val="0"/>
              </w:rPr>
              <w:t xml:space="preserve">0.265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A">
            <w:pPr>
              <w:spacing w:after="0" w:lineRule="auto"/>
              <w:jc w:val="center"/>
              <w:rPr/>
            </w:pPr>
            <w:r w:rsidDel="00000000" w:rsidR="00000000" w:rsidRPr="00000000">
              <w:rPr>
                <w:rtl w:val="0"/>
              </w:rPr>
              <w:t xml:space="preserve">6.595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B">
            <w:pPr>
              <w:spacing w:after="0" w:lineRule="auto"/>
              <w:jc w:val="center"/>
              <w:rPr/>
            </w:pPr>
            <w:r w:rsidDel="00000000" w:rsidR="00000000" w:rsidRPr="00000000">
              <w:rPr>
                <w:rtl w:val="0"/>
              </w:rPr>
              <w:t xml:space="preserve">6.366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C">
            <w:pPr>
              <w:spacing w:after="0" w:lineRule="auto"/>
              <w:rPr/>
            </w:pPr>
            <w:r w:rsidDel="00000000" w:rsidR="00000000" w:rsidRPr="00000000">
              <w:rPr>
                <w:rtl w:val="0"/>
              </w:rPr>
              <w:t xml:space="preserve">South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D">
            <w:pPr>
              <w:spacing w:after="0" w:lineRule="auto"/>
              <w:jc w:val="center"/>
              <w:rPr/>
            </w:pPr>
            <w:r w:rsidDel="00000000" w:rsidR="00000000" w:rsidRPr="00000000">
              <w:rPr>
                <w:rtl w:val="0"/>
              </w:rPr>
              <w:t xml:space="preserve">0.755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E">
            <w:pPr>
              <w:spacing w:after="0" w:lineRule="auto"/>
              <w:jc w:val="center"/>
              <w:rPr/>
            </w:pPr>
            <w:r w:rsidDel="00000000" w:rsidR="00000000" w:rsidRPr="00000000">
              <w:rPr>
                <w:rtl w:val="0"/>
              </w:rPr>
              <w:t xml:space="preserve">1.205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9F">
            <w:pPr>
              <w:spacing w:after="0" w:lineRule="auto"/>
              <w:jc w:val="center"/>
              <w:rPr/>
            </w:pPr>
            <w:r w:rsidDel="00000000" w:rsidR="00000000" w:rsidRPr="00000000">
              <w:rPr>
                <w:rtl w:val="0"/>
              </w:rPr>
              <w:t xml:space="preserve">0.304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0">
            <w:pPr>
              <w:spacing w:after="0" w:lineRule="auto"/>
              <w:jc w:val="center"/>
              <w:rPr/>
            </w:pPr>
            <w:r w:rsidDel="00000000" w:rsidR="00000000" w:rsidRPr="00000000">
              <w:rPr>
                <w:rtl w:val="0"/>
              </w:rPr>
              <w:t xml:space="preserve">6.235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1">
            <w:pPr>
              <w:spacing w:after="0" w:lineRule="auto"/>
              <w:jc w:val="center"/>
              <w:rPr/>
            </w:pPr>
            <w:r w:rsidDel="00000000" w:rsidR="00000000" w:rsidRPr="00000000">
              <w:rPr>
                <w:rtl w:val="0"/>
              </w:rPr>
              <w:t xml:space="preserve">6.614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2">
            <w:pPr>
              <w:spacing w:after="0" w:lineRule="auto"/>
              <w:rPr/>
            </w:pPr>
            <w:r w:rsidDel="00000000" w:rsidR="00000000" w:rsidRPr="00000000">
              <w:rPr>
                <w:rtl w:val="0"/>
              </w:rPr>
              <w:t xml:space="preserve">Utah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3">
            <w:pPr>
              <w:spacing w:after="0" w:lineRule="auto"/>
              <w:jc w:val="center"/>
              <w:rPr/>
            </w:pPr>
            <w:r w:rsidDel="00000000" w:rsidR="00000000" w:rsidRPr="00000000">
              <w:rPr>
                <w:rtl w:val="0"/>
              </w:rPr>
              <w:t xml:space="preserve">0.749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4">
            <w:pPr>
              <w:spacing w:after="0" w:lineRule="auto"/>
              <w:jc w:val="center"/>
              <w:rPr/>
            </w:pPr>
            <w:r w:rsidDel="00000000" w:rsidR="00000000" w:rsidRPr="00000000">
              <w:rPr>
                <w:rtl w:val="0"/>
              </w:rPr>
              <w:t xml:space="preserve">1.186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5">
            <w:pPr>
              <w:spacing w:after="0" w:lineRule="auto"/>
              <w:jc w:val="center"/>
              <w:rPr/>
            </w:pPr>
            <w:r w:rsidDel="00000000" w:rsidR="00000000" w:rsidRPr="00000000">
              <w:rPr>
                <w:rtl w:val="0"/>
              </w:rPr>
              <w:t xml:space="preserve">0.312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6">
            <w:pPr>
              <w:spacing w:after="0" w:lineRule="auto"/>
              <w:jc w:val="center"/>
              <w:rPr/>
            </w:pPr>
            <w:r w:rsidDel="00000000" w:rsidR="00000000" w:rsidRPr="00000000">
              <w:rPr>
                <w:rtl w:val="0"/>
              </w:rPr>
              <w:t xml:space="preserve">5.861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7">
            <w:pPr>
              <w:spacing w:after="0" w:lineRule="auto"/>
              <w:jc w:val="center"/>
              <w:rPr/>
            </w:pPr>
            <w:r w:rsidDel="00000000" w:rsidR="00000000" w:rsidRPr="00000000">
              <w:rPr>
                <w:rtl w:val="0"/>
              </w:rPr>
              <w:t xml:space="preserve">5.608</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8">
            <w:pPr>
              <w:spacing w:after="0" w:lineRule="auto"/>
              <w:rPr/>
            </w:pPr>
            <w:r w:rsidDel="00000000" w:rsidR="00000000" w:rsidRPr="00000000">
              <w:rPr>
                <w:rtl w:val="0"/>
              </w:rPr>
              <w:t xml:space="preserve">Missouri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9">
            <w:pPr>
              <w:spacing w:after="0" w:lineRule="auto"/>
              <w:jc w:val="center"/>
              <w:rPr/>
            </w:pPr>
            <w:r w:rsidDel="00000000" w:rsidR="00000000" w:rsidRPr="00000000">
              <w:rPr>
                <w:rtl w:val="0"/>
              </w:rPr>
              <w:t xml:space="preserve">0.742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A">
            <w:pPr>
              <w:spacing w:after="0" w:lineRule="auto"/>
              <w:jc w:val="center"/>
              <w:rPr/>
            </w:pPr>
            <w:r w:rsidDel="00000000" w:rsidR="00000000" w:rsidRPr="00000000">
              <w:rPr>
                <w:rtl w:val="0"/>
              </w:rPr>
              <w:t xml:space="preserve">1.211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B">
            <w:pPr>
              <w:spacing w:after="0" w:lineRule="auto"/>
              <w:jc w:val="center"/>
              <w:rPr/>
            </w:pPr>
            <w:r w:rsidDel="00000000" w:rsidR="00000000" w:rsidRPr="00000000">
              <w:rPr>
                <w:rtl w:val="0"/>
              </w:rPr>
              <w:t xml:space="preserve">0.273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after="0" w:lineRule="auto"/>
              <w:jc w:val="center"/>
              <w:rPr/>
            </w:pPr>
            <w:r w:rsidDel="00000000" w:rsidR="00000000" w:rsidRPr="00000000">
              <w:rPr>
                <w:rtl w:val="0"/>
              </w:rPr>
              <w:t xml:space="preserve">6.754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D">
            <w:pPr>
              <w:spacing w:after="0" w:lineRule="auto"/>
              <w:jc w:val="center"/>
              <w:rPr/>
            </w:pPr>
            <w:r w:rsidDel="00000000" w:rsidR="00000000" w:rsidRPr="00000000">
              <w:rPr>
                <w:rtl w:val="0"/>
              </w:rPr>
              <w:t xml:space="preserve">8.136</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after="0" w:lineRule="auto"/>
              <w:rPr/>
            </w:pPr>
            <w:r w:rsidDel="00000000" w:rsidR="00000000" w:rsidRPr="00000000">
              <w:rPr>
                <w:rtl w:val="0"/>
              </w:rPr>
              <w:t xml:space="preserve">Tennessee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AF">
            <w:pPr>
              <w:spacing w:after="0" w:lineRule="auto"/>
              <w:jc w:val="center"/>
              <w:rPr/>
            </w:pPr>
            <w:r w:rsidDel="00000000" w:rsidR="00000000" w:rsidRPr="00000000">
              <w:rPr>
                <w:rtl w:val="0"/>
              </w:rPr>
              <w:t xml:space="preserve">0.727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0">
            <w:pPr>
              <w:spacing w:after="0" w:lineRule="auto"/>
              <w:jc w:val="center"/>
              <w:rPr/>
            </w:pPr>
            <w:r w:rsidDel="00000000" w:rsidR="00000000" w:rsidRPr="00000000">
              <w:rPr>
                <w:rtl w:val="0"/>
              </w:rPr>
              <w:t xml:space="preserve">1.165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after="0" w:lineRule="auto"/>
              <w:jc w:val="center"/>
              <w:rPr/>
            </w:pPr>
            <w:r w:rsidDel="00000000" w:rsidR="00000000" w:rsidRPr="00000000">
              <w:rPr>
                <w:rtl w:val="0"/>
              </w:rPr>
              <w:t xml:space="preserve">0.289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2">
            <w:pPr>
              <w:spacing w:after="0" w:lineRule="auto"/>
              <w:jc w:val="center"/>
              <w:rPr/>
            </w:pPr>
            <w:r w:rsidDel="00000000" w:rsidR="00000000" w:rsidRPr="00000000">
              <w:rPr>
                <w:rtl w:val="0"/>
              </w:rPr>
              <w:t xml:space="preserve">5.682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3">
            <w:pPr>
              <w:spacing w:after="0" w:lineRule="auto"/>
              <w:jc w:val="center"/>
              <w:rPr/>
            </w:pPr>
            <w:r w:rsidDel="00000000" w:rsidR="00000000" w:rsidRPr="00000000">
              <w:rPr>
                <w:rtl w:val="0"/>
              </w:rPr>
              <w:t xml:space="preserve">5.527</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after="0" w:lineRule="auto"/>
              <w:rPr/>
            </w:pPr>
            <w:r w:rsidDel="00000000" w:rsidR="00000000" w:rsidRPr="00000000">
              <w:rPr>
                <w:rtl w:val="0"/>
              </w:rPr>
              <w:t xml:space="preserve">Michigan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after="0" w:lineRule="auto"/>
              <w:jc w:val="center"/>
              <w:rPr/>
            </w:pPr>
            <w:r w:rsidDel="00000000" w:rsidR="00000000" w:rsidRPr="00000000">
              <w:rPr>
                <w:rtl w:val="0"/>
              </w:rPr>
              <w:t xml:space="preserve">0.724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after="0" w:lineRule="auto"/>
              <w:jc w:val="center"/>
              <w:rPr/>
            </w:pPr>
            <w:r w:rsidDel="00000000" w:rsidR="00000000" w:rsidRPr="00000000">
              <w:rPr>
                <w:rtl w:val="0"/>
              </w:rPr>
              <w:t xml:space="preserve">1.120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after="0" w:lineRule="auto"/>
              <w:jc w:val="center"/>
              <w:rPr/>
            </w:pPr>
            <w:r w:rsidDel="00000000" w:rsidR="00000000" w:rsidRPr="00000000">
              <w:rPr>
                <w:rtl w:val="0"/>
              </w:rPr>
              <w:t xml:space="preserve">0.329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8">
            <w:pPr>
              <w:spacing w:after="0" w:lineRule="auto"/>
              <w:jc w:val="center"/>
              <w:rPr/>
            </w:pPr>
            <w:r w:rsidDel="00000000" w:rsidR="00000000" w:rsidRPr="00000000">
              <w:rPr>
                <w:rtl w:val="0"/>
              </w:rPr>
              <w:t xml:space="preserve">6.493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9">
            <w:pPr>
              <w:spacing w:after="0" w:lineRule="auto"/>
              <w:jc w:val="center"/>
              <w:rPr/>
            </w:pPr>
            <w:r w:rsidDel="00000000" w:rsidR="00000000" w:rsidRPr="00000000">
              <w:rPr>
                <w:rtl w:val="0"/>
              </w:rPr>
              <w:t xml:space="preserve">10.404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A">
            <w:pPr>
              <w:spacing w:after="0" w:lineRule="auto"/>
              <w:rPr/>
            </w:pPr>
            <w:r w:rsidDel="00000000" w:rsidR="00000000" w:rsidRPr="00000000">
              <w:rPr>
                <w:rtl w:val="0"/>
              </w:rPr>
              <w:t xml:space="preserve">Idaho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after="0" w:lineRule="auto"/>
              <w:jc w:val="center"/>
              <w:rPr/>
            </w:pPr>
            <w:r w:rsidDel="00000000" w:rsidR="00000000" w:rsidRPr="00000000">
              <w:rPr>
                <w:rtl w:val="0"/>
              </w:rPr>
              <w:t xml:space="preserve">0.638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C">
            <w:pPr>
              <w:spacing w:after="0" w:lineRule="auto"/>
              <w:jc w:val="center"/>
              <w:rPr/>
            </w:pPr>
            <w:r w:rsidDel="00000000" w:rsidR="00000000" w:rsidRPr="00000000">
              <w:rPr>
                <w:rtl w:val="0"/>
              </w:rPr>
              <w:t xml:space="preserve">1.024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D">
            <w:pPr>
              <w:spacing w:after="0" w:lineRule="auto"/>
              <w:jc w:val="center"/>
              <w:rPr/>
            </w:pPr>
            <w:r w:rsidDel="00000000" w:rsidR="00000000" w:rsidRPr="00000000">
              <w:rPr>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E">
            <w:pPr>
              <w:spacing w:after="0" w:lineRule="auto"/>
              <w:jc w:val="center"/>
              <w:rPr/>
            </w:pPr>
            <w:r w:rsidDel="00000000" w:rsidR="00000000" w:rsidRPr="00000000">
              <w:rPr>
                <w:rtl w:val="0"/>
              </w:rPr>
              <w:t xml:space="preserve">7.066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BF">
            <w:pPr>
              <w:spacing w:after="0" w:lineRule="auto"/>
              <w:jc w:val="center"/>
              <w:rPr/>
            </w:pPr>
            <w:r w:rsidDel="00000000" w:rsidR="00000000" w:rsidRPr="00000000">
              <w:rPr>
                <w:rtl w:val="0"/>
              </w:rPr>
              <w:t xml:space="preserve">6.337</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0">
            <w:pPr>
              <w:spacing w:after="0" w:lineRule="auto"/>
              <w:rPr/>
            </w:pPr>
            <w:r w:rsidDel="00000000" w:rsidR="00000000" w:rsidRPr="00000000">
              <w:rPr>
                <w:rtl w:val="0"/>
              </w:rPr>
              <w:t xml:space="preserve">Mississippi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1">
            <w:pPr>
              <w:spacing w:after="0" w:lineRule="auto"/>
              <w:jc w:val="center"/>
              <w:rPr/>
            </w:pPr>
            <w:r w:rsidDel="00000000" w:rsidR="00000000" w:rsidRPr="00000000">
              <w:rPr>
                <w:rtl w:val="0"/>
              </w:rPr>
              <w:t xml:space="preserve">0.625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2">
            <w:pPr>
              <w:spacing w:after="0" w:lineRule="auto"/>
              <w:jc w:val="center"/>
              <w:rPr/>
            </w:pPr>
            <w:r w:rsidDel="00000000" w:rsidR="00000000" w:rsidRPr="00000000">
              <w:rPr>
                <w:rtl w:val="0"/>
              </w:rPr>
              <w:t xml:space="preserve">1.051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3">
            <w:pPr>
              <w:spacing w:after="0" w:lineRule="auto"/>
              <w:jc w:val="center"/>
              <w:rPr/>
            </w:pPr>
            <w:r w:rsidDel="00000000" w:rsidR="00000000" w:rsidRPr="00000000">
              <w:rPr>
                <w:rtl w:val="0"/>
              </w:rPr>
              <w:t xml:space="preserve">0.198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4">
            <w:pPr>
              <w:spacing w:after="0" w:lineRule="auto"/>
              <w:jc w:val="center"/>
              <w:rPr/>
            </w:pPr>
            <w:r w:rsidDel="00000000" w:rsidR="00000000" w:rsidRPr="00000000">
              <w:rPr>
                <w:rtl w:val="0"/>
              </w:rPr>
              <w:t xml:space="preserve">6.189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5">
            <w:pPr>
              <w:spacing w:after="0" w:lineRule="auto"/>
              <w:jc w:val="center"/>
              <w:rPr/>
            </w:pPr>
            <w:r w:rsidDel="00000000" w:rsidR="00000000" w:rsidRPr="00000000">
              <w:rPr>
                <w:rtl w:val="0"/>
              </w:rPr>
              <w:t xml:space="preserve">5.874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6">
            <w:pPr>
              <w:spacing w:after="0" w:lineRule="auto"/>
              <w:rPr/>
            </w:pPr>
            <w:r w:rsidDel="00000000" w:rsidR="00000000" w:rsidRPr="00000000">
              <w:rPr>
                <w:rtl w:val="0"/>
              </w:rPr>
              <w:t xml:space="preserve">Oklahoma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7">
            <w:pPr>
              <w:spacing w:after="0" w:lineRule="auto"/>
              <w:jc w:val="center"/>
              <w:rPr/>
            </w:pPr>
            <w:r w:rsidDel="00000000" w:rsidR="00000000" w:rsidRPr="00000000">
              <w:rPr>
                <w:rtl w:val="0"/>
              </w:rPr>
              <w:t xml:space="preserve">0.613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8">
            <w:pPr>
              <w:spacing w:after="0" w:lineRule="auto"/>
              <w:jc w:val="center"/>
              <w:rPr/>
            </w:pPr>
            <w:r w:rsidDel="00000000" w:rsidR="00000000" w:rsidRPr="00000000">
              <w:rPr>
                <w:rtl w:val="0"/>
              </w:rPr>
              <w:t xml:space="preserve">1.026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9">
            <w:pPr>
              <w:spacing w:after="0" w:lineRule="auto"/>
              <w:jc w:val="center"/>
              <w:rPr/>
            </w:pPr>
            <w:r w:rsidDel="00000000" w:rsidR="00000000" w:rsidRPr="00000000">
              <w:rPr>
                <w:rtl w:val="0"/>
              </w:rPr>
              <w:t xml:space="preserve">0.199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after="0" w:lineRule="auto"/>
              <w:jc w:val="center"/>
              <w:rPr/>
            </w:pPr>
            <w:r w:rsidDel="00000000" w:rsidR="00000000" w:rsidRPr="00000000">
              <w:rPr>
                <w:rtl w:val="0"/>
              </w:rPr>
              <w:t xml:space="preserve">6.838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B">
            <w:pPr>
              <w:spacing w:after="0" w:lineRule="auto"/>
              <w:jc w:val="center"/>
              <w:rPr/>
            </w:pPr>
            <w:r w:rsidDel="00000000" w:rsidR="00000000" w:rsidRPr="00000000">
              <w:rPr>
                <w:rtl w:val="0"/>
              </w:rPr>
              <w:t xml:space="preserve">6.299</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after="0" w:lineRule="auto"/>
              <w:rPr/>
            </w:pPr>
            <w:r w:rsidDel="00000000" w:rsidR="00000000" w:rsidRPr="00000000">
              <w:rPr>
                <w:rtl w:val="0"/>
              </w:rPr>
              <w:t xml:space="preserve">Arkansas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after="0" w:lineRule="auto"/>
              <w:jc w:val="center"/>
              <w:rPr/>
            </w:pPr>
            <w:r w:rsidDel="00000000" w:rsidR="00000000" w:rsidRPr="00000000">
              <w:rPr>
                <w:rtl w:val="0"/>
              </w:rPr>
              <w:t xml:space="preserve">0.593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E">
            <w:pPr>
              <w:spacing w:after="0" w:lineRule="auto"/>
              <w:jc w:val="center"/>
              <w:rPr/>
            </w:pPr>
            <w:r w:rsidDel="00000000" w:rsidR="00000000" w:rsidRPr="00000000">
              <w:rPr>
                <w:rtl w:val="0"/>
              </w:rPr>
              <w:t xml:space="preserve">0.985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after="0" w:lineRule="auto"/>
              <w:jc w:val="center"/>
              <w:rPr/>
            </w:pPr>
            <w:r w:rsidDel="00000000" w:rsidR="00000000" w:rsidRPr="00000000">
              <w:rPr>
                <w:rtl w:val="0"/>
              </w:rPr>
              <w:t xml:space="preserve">0.202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0">
            <w:pPr>
              <w:spacing w:after="0" w:lineRule="auto"/>
              <w:jc w:val="center"/>
              <w:rPr/>
            </w:pPr>
            <w:r w:rsidDel="00000000" w:rsidR="00000000" w:rsidRPr="00000000">
              <w:rPr>
                <w:rtl w:val="0"/>
              </w:rPr>
              <w:t xml:space="preserve">5.511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1">
            <w:pPr>
              <w:spacing w:after="0" w:lineRule="auto"/>
              <w:jc w:val="center"/>
              <w:rPr/>
            </w:pPr>
            <w:r w:rsidDel="00000000" w:rsidR="00000000" w:rsidRPr="00000000">
              <w:rPr>
                <w:rtl w:val="0"/>
              </w:rPr>
              <w:t xml:space="preserve">6.754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2">
            <w:pPr>
              <w:spacing w:after="0" w:lineRule="auto"/>
              <w:rPr/>
            </w:pPr>
            <w:r w:rsidDel="00000000" w:rsidR="00000000" w:rsidRPr="00000000">
              <w:rPr>
                <w:rtl w:val="0"/>
              </w:rPr>
              <w:t xml:space="preserve">South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3">
            <w:pPr>
              <w:spacing w:after="0" w:lineRule="auto"/>
              <w:jc w:val="center"/>
              <w:rPr/>
            </w:pPr>
            <w:r w:rsidDel="00000000" w:rsidR="00000000" w:rsidRPr="00000000">
              <w:rPr>
                <w:rtl w:val="0"/>
              </w:rPr>
              <w:t xml:space="preserve">0.578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4">
            <w:pPr>
              <w:spacing w:after="0" w:lineRule="auto"/>
              <w:jc w:val="center"/>
              <w:rPr/>
            </w:pPr>
            <w:r w:rsidDel="00000000" w:rsidR="00000000" w:rsidRPr="00000000">
              <w:rPr>
                <w:rtl w:val="0"/>
              </w:rPr>
              <w:t xml:space="preserve">0.959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5">
            <w:pPr>
              <w:spacing w:after="0" w:lineRule="auto"/>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6">
            <w:pPr>
              <w:spacing w:after="0" w:lineRule="auto"/>
              <w:jc w:val="center"/>
              <w:rPr/>
            </w:pPr>
            <w:r w:rsidDel="00000000" w:rsidR="00000000" w:rsidRPr="00000000">
              <w:rPr>
                <w:rtl w:val="0"/>
              </w:rPr>
              <w:t xml:space="preserve">8.135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7">
            <w:pPr>
              <w:spacing w:after="0" w:lineRule="auto"/>
              <w:jc w:val="center"/>
              <w:rPr/>
            </w:pPr>
            <w:r w:rsidDel="00000000" w:rsidR="00000000" w:rsidRPr="00000000">
              <w:rPr>
                <w:rtl w:val="0"/>
              </w:rPr>
              <w:t xml:space="preserve">4.758</w:t>
            </w:r>
          </w:p>
        </w:tc>
      </w:tr>
      <w:tr>
        <w:trPr>
          <w:cantSplit w:val="0"/>
          <w:trHeight w:val="49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after="0" w:lineRule="auto"/>
              <w:rPr>
                <w:b w:val="1"/>
              </w:rPr>
            </w:pPr>
            <w:r w:rsidDel="00000000" w:rsidR="00000000" w:rsidRPr="00000000">
              <w:rPr>
                <w:b w:val="1"/>
                <w:rtl w:val="0"/>
              </w:rPr>
              <w:t xml:space="preserve">Average</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after="0" w:lineRule="auto"/>
              <w:jc w:val="center"/>
              <w:rPr>
                <w:b w:val="1"/>
              </w:rPr>
            </w:pPr>
            <w:r w:rsidDel="00000000" w:rsidR="00000000" w:rsidRPr="00000000">
              <w:rPr>
                <w:b w:val="1"/>
                <w:rtl w:val="0"/>
              </w:rPr>
              <w:t xml:space="preserve">1.020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A">
            <w:pPr>
              <w:spacing w:after="0" w:lineRule="auto"/>
              <w:jc w:val="center"/>
              <w:rPr>
                <w:b w:val="1"/>
              </w:rPr>
            </w:pPr>
            <w:r w:rsidDel="00000000" w:rsidR="00000000" w:rsidRPr="00000000">
              <w:rPr>
                <w:b w:val="1"/>
                <w:rtl w:val="0"/>
              </w:rPr>
              <w:t xml:space="preserve">1.683</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B">
            <w:pPr>
              <w:spacing w:after="0" w:lineRule="auto"/>
              <w:jc w:val="center"/>
              <w:rPr>
                <w:b w:val="1"/>
              </w:rPr>
            </w:pPr>
            <w:r w:rsidDel="00000000" w:rsidR="00000000" w:rsidRPr="00000000">
              <w:rPr>
                <w:b w:val="1"/>
                <w:rtl w:val="0"/>
              </w:rPr>
              <w:t xml:space="preserve">0.357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after="0" w:lineRule="auto"/>
              <w:jc w:val="center"/>
              <w:rPr>
                <w:b w:val="1"/>
              </w:rPr>
            </w:pPr>
            <w:r w:rsidDel="00000000" w:rsidR="00000000" w:rsidRPr="00000000">
              <w:rPr>
                <w:b w:val="1"/>
                <w:rtl w:val="0"/>
              </w:rPr>
              <w:t xml:space="preserve">7.069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after="0" w:lineRule="auto"/>
              <w:jc w:val="center"/>
              <w:rPr>
                <w:b w:val="1"/>
              </w:rPr>
            </w:pPr>
            <w:r w:rsidDel="00000000" w:rsidR="00000000" w:rsidRPr="00000000">
              <w:rPr>
                <w:b w:val="1"/>
                <w:rtl w:val="0"/>
              </w:rPr>
              <w:t xml:space="preserve">8.272</w:t>
            </w:r>
          </w:p>
        </w:tc>
      </w:tr>
    </w:tbl>
    <w:p w:rsidR="00000000" w:rsidDel="00000000" w:rsidP="00000000" w:rsidRDefault="00000000" w:rsidRPr="00000000" w14:paraId="000004DE">
      <w:pPr>
        <w:jc w:val="left"/>
        <w:rPr/>
      </w:pPr>
      <w:r w:rsidDel="00000000" w:rsidR="00000000" w:rsidRPr="00000000">
        <w:rPr>
          <w:rtl w:val="0"/>
        </w:rPr>
      </w:r>
    </w:p>
    <w:p w:rsidR="00000000" w:rsidDel="00000000" w:rsidP="00000000" w:rsidRDefault="00000000" w:rsidRPr="00000000" w14:paraId="000004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A1- </w:t>
      </w:r>
      <w:r w:rsidDel="00000000" w:rsidR="00000000" w:rsidRPr="00000000">
        <w:rPr>
          <w:rtl w:val="0"/>
        </w:rPr>
        <w:t xml:space="preserve">Distribution</w:t>
      </w:r>
      <w:r w:rsidDel="00000000" w:rsidR="00000000" w:rsidRPr="00000000">
        <w:rPr>
          <w:rFonts w:ascii="Times New Roman" w:cs="Times New Roman" w:eastAsia="Times New Roman" w:hAnsi="Times New Roman"/>
          <w:sz w:val="24"/>
          <w:szCs w:val="24"/>
          <w:rtl w:val="0"/>
        </w:rPr>
        <w:t xml:space="preserve"> of for-profit treatment counts in each state-year</w:t>
      </w:r>
    </w:p>
    <w:p w:rsidR="00000000" w:rsidDel="00000000" w:rsidP="00000000" w:rsidRDefault="00000000" w:rsidRPr="00000000" w14:paraId="000004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93563" cy="3073747"/>
            <wp:effectExtent b="0" l="0" r="0" t="0"/>
            <wp:docPr id="5" name="image2.png"/>
            <a:graphic>
              <a:graphicData uri="http://schemas.openxmlformats.org/drawingml/2006/picture">
                <pic:pic>
                  <pic:nvPicPr>
                    <pic:cNvPr id="0" name="image2.png"/>
                    <pic:cNvPicPr preferRelativeResize="0"/>
                  </pic:nvPicPr>
                  <pic:blipFill>
                    <a:blip r:embed="rId95"/>
                    <a:srcRect b="0" l="0" r="0" t="0"/>
                    <a:stretch>
                      <a:fillRect/>
                    </a:stretch>
                  </pic:blipFill>
                  <pic:spPr>
                    <a:xfrm>
                      <a:off x="0" y="0"/>
                      <a:ext cx="4993563" cy="3073747"/>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A2 distribution of non-profit treatment counts in each state-year</w:t>
      </w:r>
    </w:p>
    <w:p w:rsidR="00000000" w:rsidDel="00000000" w:rsidP="00000000" w:rsidRDefault="00000000" w:rsidRPr="00000000" w14:paraId="000004E2">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827338" cy="2972246"/>
            <wp:effectExtent b="0" l="0" r="0" t="0"/>
            <wp:docPr id="2" name="image1.png"/>
            <a:graphic>
              <a:graphicData uri="http://schemas.openxmlformats.org/drawingml/2006/picture">
                <pic:pic>
                  <pic:nvPicPr>
                    <pic:cNvPr id="0" name="image1.png"/>
                    <pic:cNvPicPr preferRelativeResize="0"/>
                  </pic:nvPicPr>
                  <pic:blipFill>
                    <a:blip r:embed="rId96"/>
                    <a:srcRect b="0" l="0" r="0" t="0"/>
                    <a:stretch>
                      <a:fillRect/>
                    </a:stretch>
                  </pic:blipFill>
                  <pic:spPr>
                    <a:xfrm>
                      <a:off x="0" y="0"/>
                      <a:ext cx="4827338" cy="29722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3">
      <w:pPr>
        <w:jc w:val="center"/>
        <w:rPr/>
      </w:pPr>
      <w:r w:rsidDel="00000000" w:rsidR="00000000" w:rsidRPr="00000000">
        <w:rPr>
          <w:rtl w:val="0"/>
        </w:rPr>
      </w:r>
    </w:p>
    <w:p w:rsidR="00000000" w:rsidDel="00000000" w:rsidP="00000000" w:rsidRDefault="00000000" w:rsidRPr="00000000" w14:paraId="000004E4">
      <w:pPr>
        <w:jc w:val="center"/>
        <w:rPr/>
      </w:pPr>
      <w:r w:rsidDel="00000000" w:rsidR="00000000" w:rsidRPr="00000000">
        <w:rPr>
          <w:rtl w:val="0"/>
        </w:rPr>
      </w:r>
    </w:p>
    <w:p w:rsidR="00000000" w:rsidDel="00000000" w:rsidP="00000000" w:rsidRDefault="00000000" w:rsidRPr="00000000" w14:paraId="000004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A3 - distribution of government treatment counts in each state-year</w:t>
      </w:r>
    </w:p>
    <w:p w:rsidR="00000000" w:rsidDel="00000000" w:rsidP="00000000" w:rsidRDefault="00000000" w:rsidRPr="00000000" w14:paraId="000004E6">
      <w:pPr>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4913602" cy="3026122"/>
            <wp:effectExtent b="0" l="0" r="0" t="0"/>
            <wp:docPr id="1" name="image4.png"/>
            <a:graphic>
              <a:graphicData uri="http://schemas.openxmlformats.org/drawingml/2006/picture">
                <pic:pic>
                  <pic:nvPicPr>
                    <pic:cNvPr id="0" name="image4.png"/>
                    <pic:cNvPicPr preferRelativeResize="0"/>
                  </pic:nvPicPr>
                  <pic:blipFill>
                    <a:blip r:embed="rId97"/>
                    <a:srcRect b="0" l="0" r="0" t="0"/>
                    <a:stretch>
                      <a:fillRect/>
                    </a:stretch>
                  </pic:blipFill>
                  <pic:spPr>
                    <a:xfrm>
                      <a:off x="0" y="0"/>
                      <a:ext cx="4913602" cy="3026122"/>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jc w:val="center"/>
        <w:rPr/>
      </w:pPr>
      <w:r w:rsidDel="00000000" w:rsidR="00000000" w:rsidRPr="00000000">
        <w:rPr>
          <w:rtl w:val="0"/>
        </w:rPr>
      </w:r>
    </w:p>
    <w:tbl>
      <w:tblPr>
        <w:tblStyle w:val="Table6"/>
        <w:tblW w:w="11010.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40"/>
        <w:gridCol w:w="840"/>
        <w:gridCol w:w="855"/>
        <w:gridCol w:w="840"/>
        <w:gridCol w:w="855"/>
        <w:gridCol w:w="855"/>
        <w:gridCol w:w="855"/>
        <w:gridCol w:w="840"/>
        <w:gridCol w:w="885"/>
        <w:gridCol w:w="1050"/>
        <w:gridCol w:w="855"/>
        <w:gridCol w:w="945"/>
        <w:tblGridChange w:id="0">
          <w:tblGrid>
            <w:gridCol w:w="495"/>
            <w:gridCol w:w="840"/>
            <w:gridCol w:w="840"/>
            <w:gridCol w:w="855"/>
            <w:gridCol w:w="840"/>
            <w:gridCol w:w="855"/>
            <w:gridCol w:w="855"/>
            <w:gridCol w:w="855"/>
            <w:gridCol w:w="840"/>
            <w:gridCol w:w="885"/>
            <w:gridCol w:w="1050"/>
            <w:gridCol w:w="855"/>
            <w:gridCol w:w="945"/>
          </w:tblGrid>
        </w:tblGridChange>
      </w:tblGrid>
      <w:tr>
        <w:trPr>
          <w:cantSplit w:val="0"/>
          <w:trHeight w:val="272.1306818181818" w:hRule="atLeast"/>
          <w:tblHeader w:val="0"/>
        </w:trPr>
        <w:tc>
          <w:tcPr>
            <w:gridSpan w:val="13"/>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4E8">
            <w:pPr>
              <w:spacing w:line="523.6363636363636" w:lineRule="auto"/>
              <w:jc w:val="center"/>
              <w:rPr>
                <w:b w:val="1"/>
              </w:rPr>
            </w:pPr>
            <w:r w:rsidDel="00000000" w:rsidR="00000000" w:rsidRPr="00000000">
              <w:rPr>
                <w:b w:val="1"/>
                <w:rtl w:val="0"/>
              </w:rPr>
              <w:t xml:space="preserve">Table A3 - Correlation coefficients on control variables and demand variables</w:t>
            </w:r>
          </w:p>
        </w:tc>
      </w:tr>
      <w:tr>
        <w:trPr>
          <w:cantSplit w:val="0"/>
          <w:trHeight w:val="272.130681818181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5">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6">
            <w:pPr>
              <w:spacing w:line="523.636363636363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7">
            <w:pPr>
              <w:spacing w:line="523.636363636363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line="523.6363636363636"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line="523.6363636363636"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line="523.6363636363636" w:lineRule="auto"/>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line="523.6363636363636"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C">
            <w:pPr>
              <w:spacing w:line="523.6363636363636"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line="523.6363636363636"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line="523.6363636363636" w:lineRule="auto"/>
              <w:rPr>
                <w:b w:val="1"/>
              </w:rPr>
            </w:pPr>
            <w:r w:rsidDel="00000000" w:rsidR="00000000" w:rsidRPr="00000000">
              <w:rPr>
                <w:b w:val="1"/>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4FF">
            <w:pPr>
              <w:spacing w:line="523.6363636363636" w:lineRule="auto"/>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0">
            <w:pPr>
              <w:spacing w:line="523.6363636363636" w:lineRule="auto"/>
              <w:rPr>
                <w:b w:val="1"/>
              </w:rPr>
            </w:pPr>
            <w:r w:rsidDel="00000000" w:rsidR="00000000" w:rsidRPr="00000000">
              <w:rPr>
                <w:b w:val="1"/>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1">
            <w:pPr>
              <w:spacing w:line="523.6363636363636" w:lineRule="auto"/>
              <w:rPr>
                <w:b w:val="1"/>
              </w:rPr>
            </w:pPr>
            <w:r w:rsidDel="00000000" w:rsidR="00000000" w:rsidRPr="00000000">
              <w:rPr>
                <w:b w:val="1"/>
                <w:rtl w:val="0"/>
              </w:rPr>
              <w:t xml:space="preserve">12</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2">
            <w:pPr>
              <w:spacing w:line="523.6363636363636" w:lineRule="auto"/>
              <w:rPr>
                <w:b w:val="1"/>
              </w:rPr>
            </w:pPr>
            <w:r w:rsidDel="00000000" w:rsidR="00000000" w:rsidRPr="00000000">
              <w:rPr>
                <w:b w:val="1"/>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3">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4">
            <w:pPr>
              <w:spacing w:line="523.6363636363636" w:lineRule="auto"/>
              <w:rPr/>
            </w:pPr>
            <w:r w:rsidDel="00000000" w:rsidR="00000000" w:rsidRPr="00000000">
              <w:rPr>
                <w:rtl w:val="0"/>
              </w:rPr>
              <w:t xml:space="preserve">-0.163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line="523.6363636363636" w:lineRule="auto"/>
              <w:rPr/>
            </w:pPr>
            <w:r w:rsidDel="00000000" w:rsidR="00000000" w:rsidRPr="00000000">
              <w:rPr>
                <w:rtl w:val="0"/>
              </w:rPr>
              <w:t xml:space="preserve">0.043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6">
            <w:pPr>
              <w:spacing w:line="523.6363636363636"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7">
            <w:pPr>
              <w:spacing w:line="523.6363636363636" w:lineRule="auto"/>
              <w:rPr/>
            </w:pPr>
            <w:r w:rsidDel="00000000" w:rsidR="00000000" w:rsidRPr="00000000">
              <w:rPr>
                <w:rtl w:val="0"/>
              </w:rPr>
              <w:t xml:space="preserve">-0.212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8">
            <w:pPr>
              <w:spacing w:line="523.6363636363636" w:lineRule="auto"/>
              <w:rPr/>
            </w:pPr>
            <w:r w:rsidDel="00000000" w:rsidR="00000000" w:rsidRPr="00000000">
              <w:rPr>
                <w:rtl w:val="0"/>
              </w:rPr>
              <w:t xml:space="preserve">-0.121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9">
            <w:pPr>
              <w:spacing w:line="523.6363636363636" w:lineRule="auto"/>
              <w:rPr/>
            </w:pPr>
            <w:r w:rsidDel="00000000" w:rsidR="00000000" w:rsidRPr="00000000">
              <w:rPr>
                <w:rtl w:val="0"/>
              </w:rPr>
              <w:t xml:space="preserve">-0.181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A">
            <w:pPr>
              <w:spacing w:line="523.6363636363636" w:lineRule="auto"/>
              <w:rPr/>
            </w:pPr>
            <w:r w:rsidDel="00000000" w:rsidR="00000000" w:rsidRPr="00000000">
              <w:rPr>
                <w:rtl w:val="0"/>
              </w:rPr>
              <w:t xml:space="preserve">0.542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B">
            <w:pPr>
              <w:spacing w:line="523.6363636363636" w:lineRule="auto"/>
              <w:rPr/>
            </w:pPr>
            <w:r w:rsidDel="00000000" w:rsidR="00000000" w:rsidRPr="00000000">
              <w:rPr>
                <w:rtl w:val="0"/>
              </w:rPr>
              <w:t xml:space="preserve">-0.132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C">
            <w:pPr>
              <w:spacing w:line="523.6363636363636" w:lineRule="auto"/>
              <w:rPr/>
            </w:pPr>
            <w:r w:rsidDel="00000000" w:rsidR="00000000" w:rsidRPr="00000000">
              <w:rPr>
                <w:rtl w:val="0"/>
              </w:rPr>
              <w:t xml:space="preserve">0.209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line="523.6363636363636" w:lineRule="auto"/>
              <w:rPr/>
            </w:pPr>
            <w:r w:rsidDel="00000000" w:rsidR="00000000" w:rsidRPr="00000000">
              <w:rPr>
                <w:rtl w:val="0"/>
              </w:rPr>
              <w:t xml:space="preserve">0.153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line="523.6363636363636" w:lineRule="auto"/>
              <w:rPr/>
            </w:pPr>
            <w:r w:rsidDel="00000000" w:rsidR="00000000" w:rsidRPr="00000000">
              <w:rPr>
                <w:rtl w:val="0"/>
              </w:rPr>
              <w:t xml:space="preserve">0.024</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0F">
            <w:pPr>
              <w:spacing w:line="523.6363636363636"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0">
            <w:pPr>
              <w:spacing w:line="523.6363636363636" w:lineRule="auto"/>
              <w:rPr/>
            </w:pPr>
            <w:r w:rsidDel="00000000" w:rsidR="00000000" w:rsidRPr="00000000">
              <w:rPr>
                <w:rtl w:val="0"/>
              </w:rPr>
              <w:t xml:space="preserve">-0.163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1">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2">
            <w:pPr>
              <w:spacing w:line="523.6363636363636" w:lineRule="auto"/>
              <w:rPr/>
            </w:pPr>
            <w:r w:rsidDel="00000000" w:rsidR="00000000" w:rsidRPr="00000000">
              <w:rPr>
                <w:rtl w:val="0"/>
              </w:rPr>
              <w:t xml:space="preserve">0.324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3">
            <w:pPr>
              <w:spacing w:line="523.6363636363636" w:lineRule="auto"/>
              <w:rPr/>
            </w:pPr>
            <w:r w:rsidDel="00000000" w:rsidR="00000000" w:rsidRPr="00000000">
              <w:rPr>
                <w:rtl w:val="0"/>
              </w:rPr>
              <w:t xml:space="preserve">0.605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4">
            <w:pPr>
              <w:spacing w:line="523.6363636363636" w:lineRule="auto"/>
              <w:rPr/>
            </w:pPr>
            <w:r w:rsidDel="00000000" w:rsidR="00000000" w:rsidRPr="00000000">
              <w:rPr>
                <w:rtl w:val="0"/>
              </w:rPr>
              <w:t xml:space="preserve">0.314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5">
            <w:pPr>
              <w:spacing w:line="523.6363636363636" w:lineRule="auto"/>
              <w:rPr/>
            </w:pPr>
            <w:r w:rsidDel="00000000" w:rsidR="00000000" w:rsidRPr="00000000">
              <w:rPr>
                <w:rtl w:val="0"/>
              </w:rPr>
              <w:t xml:space="preserve">0.467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6">
            <w:pPr>
              <w:spacing w:line="523.6363636363636" w:lineRule="auto"/>
              <w:rPr/>
            </w:pPr>
            <w:r w:rsidDel="00000000" w:rsidR="00000000" w:rsidRPr="00000000">
              <w:rPr>
                <w:rtl w:val="0"/>
              </w:rPr>
              <w:t xml:space="preserve">-0.114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7">
            <w:pPr>
              <w:spacing w:line="523.6363636363636" w:lineRule="auto"/>
              <w:rPr/>
            </w:pPr>
            <w:r w:rsidDel="00000000" w:rsidR="00000000" w:rsidRPr="00000000">
              <w:rPr>
                <w:rtl w:val="0"/>
              </w:rPr>
              <w:t xml:space="preserve">-0.256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line="523.6363636363636" w:lineRule="auto"/>
              <w:rPr/>
            </w:pPr>
            <w:r w:rsidDel="00000000" w:rsidR="00000000" w:rsidRPr="00000000">
              <w:rPr>
                <w:rtl w:val="0"/>
              </w:rPr>
              <w:t xml:space="preserve">-0.053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9">
            <w:pPr>
              <w:spacing w:line="523.6363636363636" w:lineRule="auto"/>
              <w:rPr/>
            </w:pPr>
            <w:r w:rsidDel="00000000" w:rsidR="00000000" w:rsidRPr="00000000">
              <w:rPr>
                <w:rtl w:val="0"/>
              </w:rPr>
              <w:t xml:space="preserve">-0.491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A">
            <w:pPr>
              <w:spacing w:line="523.6363636363636" w:lineRule="auto"/>
              <w:rPr/>
            </w:pPr>
            <w:r w:rsidDel="00000000" w:rsidR="00000000" w:rsidRPr="00000000">
              <w:rPr>
                <w:rtl w:val="0"/>
              </w:rPr>
              <w:t xml:space="preserve">-0.045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line="523.6363636363636" w:lineRule="auto"/>
              <w:rPr/>
            </w:pPr>
            <w:r w:rsidDel="00000000" w:rsidR="00000000" w:rsidRPr="00000000">
              <w:rPr>
                <w:rtl w:val="0"/>
              </w:rPr>
              <w:t xml:space="preserve">0.438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C">
            <w:pPr>
              <w:spacing w:line="523.6363636363636"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D">
            <w:pPr>
              <w:spacing w:line="523.6363636363636" w:lineRule="auto"/>
              <w:rPr/>
            </w:pPr>
            <w:r w:rsidDel="00000000" w:rsidR="00000000" w:rsidRPr="00000000">
              <w:rPr>
                <w:rtl w:val="0"/>
              </w:rPr>
              <w:t xml:space="preserve">0.043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E">
            <w:pPr>
              <w:spacing w:line="523.6363636363636" w:lineRule="auto"/>
              <w:rPr/>
            </w:pPr>
            <w:r w:rsidDel="00000000" w:rsidR="00000000" w:rsidRPr="00000000">
              <w:rPr>
                <w:rtl w:val="0"/>
              </w:rPr>
              <w:t xml:space="preserve">0.324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1F">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0">
            <w:pPr>
              <w:spacing w:line="523.6363636363636" w:lineRule="auto"/>
              <w:rPr/>
            </w:pPr>
            <w:r w:rsidDel="00000000" w:rsidR="00000000" w:rsidRPr="00000000">
              <w:rPr>
                <w:rtl w:val="0"/>
              </w:rPr>
              <w:t xml:space="preserve">0.412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1">
            <w:pPr>
              <w:spacing w:line="523.6363636363636" w:lineRule="auto"/>
              <w:rPr/>
            </w:pPr>
            <w:r w:rsidDel="00000000" w:rsidR="00000000" w:rsidRPr="00000000">
              <w:rPr>
                <w:rtl w:val="0"/>
              </w:rPr>
              <w:t xml:space="preserve">0.123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2">
            <w:pPr>
              <w:spacing w:line="523.6363636363636" w:lineRule="auto"/>
              <w:rPr/>
            </w:pPr>
            <w:r w:rsidDel="00000000" w:rsidR="00000000" w:rsidRPr="00000000">
              <w:rPr>
                <w:rtl w:val="0"/>
              </w:rPr>
              <w:t xml:space="preserve">0.350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line="523.6363636363636" w:lineRule="auto"/>
              <w:rPr/>
            </w:pPr>
            <w:r w:rsidDel="00000000" w:rsidR="00000000" w:rsidRPr="00000000">
              <w:rPr>
                <w:rtl w:val="0"/>
              </w:rPr>
              <w:t xml:space="preserve">-0.376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line="523.6363636363636" w:lineRule="auto"/>
              <w:rPr/>
            </w:pPr>
            <w:r w:rsidDel="00000000" w:rsidR="00000000" w:rsidRPr="00000000">
              <w:rPr>
                <w:rtl w:val="0"/>
              </w:rPr>
              <w:t xml:space="preserve">0.199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5">
            <w:pPr>
              <w:spacing w:line="523.6363636363636" w:lineRule="auto"/>
              <w:rPr/>
            </w:pPr>
            <w:r w:rsidDel="00000000" w:rsidR="00000000" w:rsidRPr="00000000">
              <w:rPr>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6">
            <w:pPr>
              <w:spacing w:line="523.6363636363636" w:lineRule="auto"/>
              <w:rPr/>
            </w:pPr>
            <w:r w:rsidDel="00000000" w:rsidR="00000000" w:rsidRPr="00000000">
              <w:rPr>
                <w:rtl w:val="0"/>
              </w:rPr>
              <w:t xml:space="preserve">-0.372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7">
            <w:pPr>
              <w:spacing w:line="523.6363636363636" w:lineRule="auto"/>
              <w:rPr/>
            </w:pPr>
            <w:r w:rsidDel="00000000" w:rsidR="00000000" w:rsidRPr="00000000">
              <w:rPr>
                <w:rtl w:val="0"/>
              </w:rPr>
              <w:t xml:space="preserve">0.492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8">
            <w:pPr>
              <w:spacing w:line="523.6363636363636" w:lineRule="auto"/>
              <w:rPr/>
            </w:pPr>
            <w:r w:rsidDel="00000000" w:rsidR="00000000" w:rsidRPr="00000000">
              <w:rPr>
                <w:rtl w:val="0"/>
              </w:rPr>
              <w:t xml:space="preserve">-0.116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9">
            <w:pPr>
              <w:spacing w:line="523.6363636363636" w:lineRule="auto"/>
              <w:rPr>
                <w:b w:val="1"/>
              </w:rPr>
            </w:pPr>
            <w:r w:rsidDel="00000000" w:rsidR="00000000" w:rsidRPr="00000000">
              <w:rPr>
                <w:b w:val="1"/>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A">
            <w:pPr>
              <w:spacing w:line="523.6363636363636"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B">
            <w:pPr>
              <w:spacing w:line="523.6363636363636" w:lineRule="auto"/>
              <w:rPr/>
            </w:pPr>
            <w:r w:rsidDel="00000000" w:rsidR="00000000" w:rsidRPr="00000000">
              <w:rPr>
                <w:rtl w:val="0"/>
              </w:rPr>
              <w:t xml:space="preserve">0.605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line="523.6363636363636" w:lineRule="auto"/>
              <w:rPr/>
            </w:pPr>
            <w:r w:rsidDel="00000000" w:rsidR="00000000" w:rsidRPr="00000000">
              <w:rPr>
                <w:rtl w:val="0"/>
              </w:rPr>
              <w:t xml:space="preserve">0.412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D">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E">
            <w:pPr>
              <w:spacing w:line="523.6363636363636" w:lineRule="auto"/>
              <w:rPr/>
            </w:pPr>
            <w:r w:rsidDel="00000000" w:rsidR="00000000" w:rsidRPr="00000000">
              <w:rPr>
                <w:rtl w:val="0"/>
              </w:rPr>
              <w:t xml:space="preserve">0.377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2F">
            <w:pPr>
              <w:spacing w:line="523.6363636363636" w:lineRule="auto"/>
              <w:rPr/>
            </w:pPr>
            <w:r w:rsidDel="00000000" w:rsidR="00000000" w:rsidRPr="00000000">
              <w:rPr>
                <w:rtl w:val="0"/>
              </w:rPr>
              <w:t xml:space="preserve">0.762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line="523.6363636363636" w:lineRule="auto"/>
              <w:rPr/>
            </w:pPr>
            <w:r w:rsidDel="00000000" w:rsidR="00000000" w:rsidRPr="00000000">
              <w:rPr>
                <w:rtl w:val="0"/>
              </w:rPr>
              <w:t xml:space="preserve">-0.193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line="523.6363636363636" w:lineRule="auto"/>
              <w:rPr/>
            </w:pPr>
            <w:r w:rsidDel="00000000" w:rsidR="00000000" w:rsidRPr="00000000">
              <w:rPr>
                <w:rtl w:val="0"/>
              </w:rPr>
              <w:t xml:space="preserve">0.152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2">
            <w:pPr>
              <w:spacing w:line="523.6363636363636" w:lineRule="auto"/>
              <w:rPr/>
            </w:pPr>
            <w:r w:rsidDel="00000000" w:rsidR="00000000" w:rsidRPr="00000000">
              <w:rPr>
                <w:rtl w:val="0"/>
              </w:rPr>
              <w:t xml:space="preserve">-0.130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3">
            <w:pPr>
              <w:spacing w:line="523.6363636363636" w:lineRule="auto"/>
              <w:rPr/>
            </w:pPr>
            <w:r w:rsidDel="00000000" w:rsidR="00000000" w:rsidRPr="00000000">
              <w:rPr>
                <w:rtl w:val="0"/>
              </w:rPr>
              <w:t xml:space="preserve">-0.428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4">
            <w:pPr>
              <w:spacing w:line="523.6363636363636"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5">
            <w:pPr>
              <w:spacing w:line="523.6363636363636" w:lineRule="auto"/>
              <w:rPr/>
            </w:pPr>
            <w:r w:rsidDel="00000000" w:rsidR="00000000" w:rsidRPr="00000000">
              <w:rPr>
                <w:rtl w:val="0"/>
              </w:rPr>
              <w:t xml:space="preserve">0.554</w:t>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6">
            <w:pPr>
              <w:spacing w:line="523.6363636363636" w:lineRule="auto"/>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7">
            <w:pPr>
              <w:spacing w:line="523.6363636363636" w:lineRule="auto"/>
              <w:rPr/>
            </w:pPr>
            <w:r w:rsidDel="00000000" w:rsidR="00000000" w:rsidRPr="00000000">
              <w:rPr>
                <w:rtl w:val="0"/>
              </w:rPr>
              <w:t xml:space="preserve">-0.212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line="523.6363636363636" w:lineRule="auto"/>
              <w:rPr/>
            </w:pPr>
            <w:r w:rsidDel="00000000" w:rsidR="00000000" w:rsidRPr="00000000">
              <w:rPr>
                <w:rtl w:val="0"/>
              </w:rPr>
              <w:t xml:space="preserve">0.314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line="523.6363636363636" w:lineRule="auto"/>
              <w:rPr/>
            </w:pPr>
            <w:r w:rsidDel="00000000" w:rsidR="00000000" w:rsidRPr="00000000">
              <w:rPr>
                <w:rtl w:val="0"/>
              </w:rPr>
              <w:t xml:space="preserve">0.123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A">
            <w:pPr>
              <w:spacing w:line="523.6363636363636" w:lineRule="auto"/>
              <w:rPr/>
            </w:pPr>
            <w:r w:rsidDel="00000000" w:rsidR="00000000" w:rsidRPr="00000000">
              <w:rPr>
                <w:rtl w:val="0"/>
              </w:rPr>
              <w:t xml:space="preserve">0.377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C">
            <w:pPr>
              <w:spacing w:line="523.6363636363636" w:lineRule="auto"/>
              <w:rPr/>
            </w:pPr>
            <w:r w:rsidDel="00000000" w:rsidR="00000000" w:rsidRPr="00000000">
              <w:rPr>
                <w:rtl w:val="0"/>
              </w:rPr>
              <w:t xml:space="preserve">0.404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D">
            <w:pPr>
              <w:spacing w:line="523.6363636363636" w:lineRule="auto"/>
              <w:rPr/>
            </w:pPr>
            <w:r w:rsidDel="00000000" w:rsidR="00000000" w:rsidRPr="00000000">
              <w:rPr>
                <w:rtl w:val="0"/>
              </w:rPr>
              <w:t xml:space="preserve">0.165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E">
            <w:pPr>
              <w:spacing w:line="523.6363636363636"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line="523.6363636363636" w:lineRule="auto"/>
              <w:rPr/>
            </w:pPr>
            <w:r w:rsidDel="00000000" w:rsidR="00000000" w:rsidRPr="00000000">
              <w:rPr>
                <w:rtl w:val="0"/>
              </w:rPr>
              <w:t xml:space="preserve">0.079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line="523.6363636363636" w:lineRule="auto"/>
              <w:rPr/>
            </w:pPr>
            <w:r w:rsidDel="00000000" w:rsidR="00000000" w:rsidRPr="00000000">
              <w:rPr>
                <w:rtl w:val="0"/>
              </w:rPr>
              <w:t xml:space="preserve">-0.283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1">
            <w:pPr>
              <w:spacing w:line="523.6363636363636" w:lineRule="auto"/>
              <w:rPr/>
            </w:pPr>
            <w:r w:rsidDel="00000000" w:rsidR="00000000" w:rsidRPr="00000000">
              <w:rPr>
                <w:rtl w:val="0"/>
              </w:rPr>
              <w:t xml:space="preserve">0.123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2">
            <w:pPr>
              <w:spacing w:line="523.6363636363636" w:lineRule="auto"/>
              <w:rPr/>
            </w:pPr>
            <w:r w:rsidDel="00000000" w:rsidR="00000000" w:rsidRPr="00000000">
              <w:rPr>
                <w:rtl w:val="0"/>
              </w:rPr>
              <w:t xml:space="preserve">0.263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3">
            <w:pPr>
              <w:spacing w:line="523.6363636363636" w:lineRule="auto"/>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4">
            <w:pPr>
              <w:spacing w:line="523.6363636363636" w:lineRule="auto"/>
              <w:rPr/>
            </w:pPr>
            <w:r w:rsidDel="00000000" w:rsidR="00000000" w:rsidRPr="00000000">
              <w:rPr>
                <w:rtl w:val="0"/>
              </w:rPr>
              <w:t xml:space="preserve">-0.121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5">
            <w:pPr>
              <w:spacing w:line="523.6363636363636" w:lineRule="auto"/>
              <w:rPr/>
            </w:pPr>
            <w:r w:rsidDel="00000000" w:rsidR="00000000" w:rsidRPr="00000000">
              <w:rPr>
                <w:rtl w:val="0"/>
              </w:rPr>
              <w:t xml:space="preserve">0.467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line="523.6363636363636" w:lineRule="auto"/>
              <w:rPr/>
            </w:pPr>
            <w:r w:rsidDel="00000000" w:rsidR="00000000" w:rsidRPr="00000000">
              <w:rPr>
                <w:rtl w:val="0"/>
              </w:rPr>
              <w:t xml:space="preserve">0.350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7">
            <w:pPr>
              <w:spacing w:line="523.6363636363636" w:lineRule="auto"/>
              <w:rPr/>
            </w:pPr>
            <w:r w:rsidDel="00000000" w:rsidR="00000000" w:rsidRPr="00000000">
              <w:rPr>
                <w:rtl w:val="0"/>
              </w:rPr>
              <w:t xml:space="preserve">0.762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8">
            <w:pPr>
              <w:spacing w:line="523.6363636363636" w:lineRule="auto"/>
              <w:rPr/>
            </w:pPr>
            <w:r w:rsidDel="00000000" w:rsidR="00000000" w:rsidRPr="00000000">
              <w:rPr>
                <w:rtl w:val="0"/>
              </w:rPr>
              <w:t xml:space="preserve">0.404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9">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A">
            <w:pPr>
              <w:spacing w:line="523.6363636363636" w:lineRule="auto"/>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B">
            <w:pPr>
              <w:spacing w:line="523.6363636363636" w:lineRule="auto"/>
              <w:rPr/>
            </w:pPr>
            <w:r w:rsidDel="00000000" w:rsidR="00000000" w:rsidRPr="00000000">
              <w:rPr>
                <w:rtl w:val="0"/>
              </w:rPr>
              <w:t xml:space="preserve">0.072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C">
            <w:pPr>
              <w:spacing w:line="523.6363636363636" w:lineRule="auto"/>
              <w:rPr/>
            </w:pPr>
            <w:r w:rsidDel="00000000" w:rsidR="00000000" w:rsidRPr="00000000">
              <w:rPr>
                <w:rtl w:val="0"/>
              </w:rPr>
              <w:t xml:space="preserve">0.058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D">
            <w:pPr>
              <w:spacing w:line="523.6363636363636" w:lineRule="auto"/>
              <w:rPr/>
            </w:pPr>
            <w:r w:rsidDel="00000000" w:rsidR="00000000" w:rsidRPr="00000000">
              <w:rPr>
                <w:rtl w:val="0"/>
              </w:rPr>
              <w:t xml:space="preserve">-0.328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line="523.6363636363636" w:lineRule="auto"/>
              <w:rPr/>
            </w:pPr>
            <w:r w:rsidDel="00000000" w:rsidR="00000000" w:rsidRPr="00000000">
              <w:rPr>
                <w:rtl w:val="0"/>
              </w:rPr>
              <w:t xml:space="preserve">-0.045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line="523.6363636363636" w:lineRule="auto"/>
              <w:rPr/>
            </w:pPr>
            <w:r w:rsidDel="00000000" w:rsidR="00000000" w:rsidRPr="00000000">
              <w:rPr>
                <w:rtl w:val="0"/>
              </w:rPr>
              <w:t xml:space="preserve">0.435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0">
            <w:pPr>
              <w:spacing w:line="523.6363636363636" w:lineRule="auto"/>
              <w:rPr>
                <w:b w:val="1"/>
              </w:rPr>
            </w:pPr>
            <w:r w:rsidDel="00000000" w:rsidR="00000000" w:rsidRPr="00000000">
              <w:rPr>
                <w:b w:val="1"/>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1">
            <w:pPr>
              <w:spacing w:line="523.6363636363636" w:lineRule="auto"/>
              <w:rPr/>
            </w:pPr>
            <w:r w:rsidDel="00000000" w:rsidR="00000000" w:rsidRPr="00000000">
              <w:rPr>
                <w:rtl w:val="0"/>
              </w:rPr>
              <w:t xml:space="preserve">-0.181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2">
            <w:pPr>
              <w:spacing w:line="523.6363636363636" w:lineRule="auto"/>
              <w:rPr/>
            </w:pPr>
            <w:r w:rsidDel="00000000" w:rsidR="00000000" w:rsidRPr="00000000">
              <w:rPr>
                <w:rtl w:val="0"/>
              </w:rPr>
              <w:t xml:space="preserve">-0.114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3">
            <w:pPr>
              <w:spacing w:line="523.6363636363636" w:lineRule="auto"/>
              <w:rPr/>
            </w:pPr>
            <w:r w:rsidDel="00000000" w:rsidR="00000000" w:rsidRPr="00000000">
              <w:rPr>
                <w:rtl w:val="0"/>
              </w:rPr>
              <w:t xml:space="preserve">-0.376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4">
            <w:pPr>
              <w:spacing w:line="523.6363636363636" w:lineRule="auto"/>
              <w:rPr/>
            </w:pPr>
            <w:r w:rsidDel="00000000" w:rsidR="00000000" w:rsidRPr="00000000">
              <w:rPr>
                <w:rtl w:val="0"/>
              </w:rPr>
              <w:t xml:space="preserve">-0.193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5">
            <w:pPr>
              <w:spacing w:line="523.6363636363636" w:lineRule="auto"/>
              <w:rPr/>
            </w:pPr>
            <w:r w:rsidDel="00000000" w:rsidR="00000000" w:rsidRPr="00000000">
              <w:rPr>
                <w:rtl w:val="0"/>
              </w:rPr>
              <w:t xml:space="preserve">0.165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6">
            <w:pPr>
              <w:spacing w:line="523.6363636363636" w:lineRule="auto"/>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7">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8">
            <w:pPr>
              <w:spacing w:line="523.6363636363636" w:lineRule="auto"/>
              <w:rPr/>
            </w:pPr>
            <w:r w:rsidDel="00000000" w:rsidR="00000000" w:rsidRPr="00000000">
              <w:rPr>
                <w:rtl w:val="0"/>
              </w:rPr>
              <w:t xml:space="preserve">0.058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9">
            <w:pPr>
              <w:spacing w:line="523.6363636363636" w:lineRule="auto"/>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A">
            <w:pPr>
              <w:spacing w:line="523.6363636363636" w:lineRule="auto"/>
              <w:rPr/>
            </w:pPr>
            <w:r w:rsidDel="00000000" w:rsidR="00000000" w:rsidRPr="00000000">
              <w:rPr>
                <w:rtl w:val="0"/>
              </w:rPr>
              <w:t xml:space="preserve">0.254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line="523.6363636363636" w:lineRule="auto"/>
              <w:rPr/>
            </w:pPr>
            <w:r w:rsidDel="00000000" w:rsidR="00000000" w:rsidRPr="00000000">
              <w:rPr>
                <w:rtl w:val="0"/>
              </w:rPr>
              <w:t xml:space="preserve">-0.185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C">
            <w:pPr>
              <w:spacing w:line="523.6363636363636" w:lineRule="auto"/>
              <w:rPr/>
            </w:pPr>
            <w:r w:rsidDel="00000000" w:rsidR="00000000" w:rsidRPr="00000000">
              <w:rPr>
                <w:rtl w:val="0"/>
              </w:rPr>
              <w:t xml:space="preserve">0.127</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D">
            <w:pPr>
              <w:spacing w:line="523.6363636363636" w:lineRule="auto"/>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E">
            <w:pPr>
              <w:spacing w:line="523.6363636363636" w:lineRule="auto"/>
              <w:rPr/>
            </w:pPr>
            <w:r w:rsidDel="00000000" w:rsidR="00000000" w:rsidRPr="00000000">
              <w:rPr>
                <w:rtl w:val="0"/>
              </w:rPr>
              <w:t xml:space="preserve">0.542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5F">
            <w:pPr>
              <w:spacing w:line="523.6363636363636" w:lineRule="auto"/>
              <w:rPr/>
            </w:pPr>
            <w:r w:rsidDel="00000000" w:rsidR="00000000" w:rsidRPr="00000000">
              <w:rPr>
                <w:rtl w:val="0"/>
              </w:rPr>
              <w:t xml:space="preserve">-0.256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0">
            <w:pPr>
              <w:spacing w:line="523.6363636363636" w:lineRule="auto"/>
              <w:rPr/>
            </w:pPr>
            <w:r w:rsidDel="00000000" w:rsidR="00000000" w:rsidRPr="00000000">
              <w:rPr>
                <w:rtl w:val="0"/>
              </w:rPr>
              <w:t xml:space="preserve">0.199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1">
            <w:pPr>
              <w:spacing w:line="523.6363636363636" w:lineRule="auto"/>
              <w:rPr/>
            </w:pPr>
            <w:r w:rsidDel="00000000" w:rsidR="00000000" w:rsidRPr="00000000">
              <w:rPr>
                <w:rtl w:val="0"/>
              </w:rPr>
              <w:t xml:space="preserve">0.152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2">
            <w:pPr>
              <w:spacing w:line="523.6363636363636"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line="523.6363636363636" w:lineRule="auto"/>
              <w:rPr/>
            </w:pPr>
            <w:r w:rsidDel="00000000" w:rsidR="00000000" w:rsidRPr="00000000">
              <w:rPr>
                <w:rtl w:val="0"/>
              </w:rPr>
              <w:t xml:space="preserve">0.072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line="523.6363636363636" w:lineRule="auto"/>
              <w:rPr/>
            </w:pPr>
            <w:r w:rsidDel="00000000" w:rsidR="00000000" w:rsidRPr="00000000">
              <w:rPr>
                <w:rtl w:val="0"/>
              </w:rPr>
              <w:t xml:space="preserve">0.058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5">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6">
            <w:pPr>
              <w:spacing w:line="523.6363636363636" w:lineRule="auto"/>
              <w:rPr/>
            </w:pPr>
            <w:r w:rsidDel="00000000" w:rsidR="00000000" w:rsidRPr="00000000">
              <w:rPr>
                <w:rtl w:val="0"/>
              </w:rPr>
              <w:t xml:space="preserve">-0.080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7">
            <w:pPr>
              <w:spacing w:line="523.6363636363636" w:lineRule="auto"/>
              <w:rPr/>
            </w:pPr>
            <w:r w:rsidDel="00000000" w:rsidR="00000000" w:rsidRPr="00000000">
              <w:rPr>
                <w:rtl w:val="0"/>
              </w:rPr>
              <w:t xml:space="preserve">0.295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8">
            <w:pPr>
              <w:spacing w:line="523.6363636363636" w:lineRule="auto"/>
              <w:rPr/>
            </w:pPr>
            <w:r w:rsidDel="00000000" w:rsidR="00000000" w:rsidRPr="00000000">
              <w:rPr>
                <w:rtl w:val="0"/>
              </w:rPr>
              <w:t xml:space="preserve">0.230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9">
            <w:pPr>
              <w:spacing w:line="523.6363636363636" w:lineRule="auto"/>
              <w:rPr/>
            </w:pPr>
            <w:r w:rsidDel="00000000" w:rsidR="00000000" w:rsidRPr="00000000">
              <w:rPr>
                <w:rtl w:val="0"/>
              </w:rPr>
              <w:t xml:space="preserve">0.074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A">
            <w:pPr>
              <w:spacing w:line="523.6363636363636" w:lineRule="auto"/>
              <w:rPr>
                <w:b w:val="1"/>
              </w:rPr>
            </w:pPr>
            <w:r w:rsidDel="00000000" w:rsidR="00000000" w:rsidRPr="00000000">
              <w:rPr>
                <w:b w:val="1"/>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B">
            <w:pPr>
              <w:spacing w:line="523.6363636363636" w:lineRule="auto"/>
              <w:rPr/>
            </w:pPr>
            <w:r w:rsidDel="00000000" w:rsidR="00000000" w:rsidRPr="00000000">
              <w:rPr>
                <w:rtl w:val="0"/>
              </w:rPr>
              <w:t xml:space="preserve">-0.132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C">
            <w:pPr>
              <w:spacing w:line="523.6363636363636" w:lineRule="auto"/>
              <w:rPr/>
            </w:pPr>
            <w:r w:rsidDel="00000000" w:rsidR="00000000" w:rsidRPr="00000000">
              <w:rPr>
                <w:rtl w:val="0"/>
              </w:rPr>
              <w:t xml:space="preserve">-0.053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D">
            <w:pPr>
              <w:spacing w:line="523.6363636363636" w:lineRule="auto"/>
              <w:rPr/>
            </w:pPr>
            <w:r w:rsidDel="00000000" w:rsidR="00000000" w:rsidRPr="00000000">
              <w:rPr>
                <w:rtl w:val="0"/>
              </w:rPr>
              <w:t xml:space="preserve">-0.291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E">
            <w:pPr>
              <w:spacing w:line="523.6363636363636" w:lineRule="auto"/>
              <w:rPr/>
            </w:pPr>
            <w:r w:rsidDel="00000000" w:rsidR="00000000" w:rsidRPr="00000000">
              <w:rPr>
                <w:rtl w:val="0"/>
              </w:rPr>
              <w:t xml:space="preserve">-0.130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6F">
            <w:pPr>
              <w:spacing w:line="523.6363636363636" w:lineRule="auto"/>
              <w:rPr/>
            </w:pPr>
            <w:r w:rsidDel="00000000" w:rsidR="00000000" w:rsidRPr="00000000">
              <w:rPr>
                <w:rtl w:val="0"/>
              </w:rPr>
              <w:t xml:space="preserve">0.079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0">
            <w:pPr>
              <w:spacing w:line="523.6363636363636" w:lineRule="auto"/>
              <w:rPr/>
            </w:pPr>
            <w:r w:rsidDel="00000000" w:rsidR="00000000" w:rsidRPr="00000000">
              <w:rPr>
                <w:rtl w:val="0"/>
              </w:rPr>
              <w:t xml:space="preserve">0.058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1">
            <w:pPr>
              <w:spacing w:line="523.6363636363636" w:lineRule="auto"/>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2">
            <w:pPr>
              <w:spacing w:line="523.6363636363636" w:lineRule="auto"/>
              <w:rPr/>
            </w:pPr>
            <w:r w:rsidDel="00000000" w:rsidR="00000000" w:rsidRPr="00000000">
              <w:rPr>
                <w:rtl w:val="0"/>
              </w:rPr>
              <w:t xml:space="preserve">-0.080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3">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4">
            <w:pPr>
              <w:spacing w:line="523.6363636363636" w:lineRule="auto"/>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5">
            <w:pPr>
              <w:spacing w:line="523.6363636363636" w:lineRule="auto"/>
              <w:rPr/>
            </w:pPr>
            <w:r w:rsidDel="00000000" w:rsidR="00000000" w:rsidRPr="00000000">
              <w:rPr>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6">
            <w:pPr>
              <w:spacing w:line="523.6363636363636" w:lineRule="auto"/>
              <w:rPr/>
            </w:pPr>
            <w:r w:rsidDel="00000000" w:rsidR="00000000" w:rsidRPr="00000000">
              <w:rPr>
                <w:rtl w:val="0"/>
              </w:rPr>
              <w:t xml:space="preserve">-0.156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7">
            <w:pPr>
              <w:spacing w:line="523.6363636363636" w:lineRule="auto"/>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8">
            <w:pPr>
              <w:spacing w:line="523.6363636363636" w:lineRule="auto"/>
              <w:rPr/>
            </w:pPr>
            <w:r w:rsidDel="00000000" w:rsidR="00000000" w:rsidRPr="00000000">
              <w:rPr>
                <w:rtl w:val="0"/>
              </w:rPr>
              <w:t xml:space="preserve">0.209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9">
            <w:pPr>
              <w:spacing w:line="523.6363636363636" w:lineRule="auto"/>
              <w:rPr/>
            </w:pPr>
            <w:r w:rsidDel="00000000" w:rsidR="00000000" w:rsidRPr="00000000">
              <w:rPr>
                <w:rtl w:val="0"/>
              </w:rPr>
              <w:t xml:space="preserve">-0.491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A">
            <w:pPr>
              <w:spacing w:line="523.6363636363636" w:lineRule="auto"/>
              <w:rPr/>
            </w:pPr>
            <w:r w:rsidDel="00000000" w:rsidR="00000000" w:rsidRPr="00000000">
              <w:rPr>
                <w:rtl w:val="0"/>
              </w:rPr>
              <w:t xml:space="preserve">-0.372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B">
            <w:pPr>
              <w:spacing w:line="523.6363636363636" w:lineRule="auto"/>
              <w:rPr/>
            </w:pPr>
            <w:r w:rsidDel="00000000" w:rsidR="00000000" w:rsidRPr="00000000">
              <w:rPr>
                <w:rtl w:val="0"/>
              </w:rPr>
              <w:t xml:space="preserve">-0.428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C">
            <w:pPr>
              <w:spacing w:line="523.6363636363636" w:lineRule="auto"/>
              <w:rPr/>
            </w:pPr>
            <w:r w:rsidDel="00000000" w:rsidR="00000000" w:rsidRPr="00000000">
              <w:rPr>
                <w:rtl w:val="0"/>
              </w:rPr>
              <w:t xml:space="preserve">-0.283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D">
            <w:pPr>
              <w:spacing w:line="523.6363636363636" w:lineRule="auto"/>
              <w:rPr/>
            </w:pPr>
            <w:r w:rsidDel="00000000" w:rsidR="00000000" w:rsidRPr="00000000">
              <w:rPr>
                <w:rtl w:val="0"/>
              </w:rPr>
              <w:t xml:space="preserve">-0.328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E">
            <w:pPr>
              <w:spacing w:line="523.6363636363636" w:lineRule="auto"/>
              <w:rPr/>
            </w:pPr>
            <w:r w:rsidDel="00000000" w:rsidR="00000000" w:rsidRPr="00000000">
              <w:rPr>
                <w:rtl w:val="0"/>
              </w:rPr>
              <w:t xml:space="preserve">0.254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7F">
            <w:pPr>
              <w:spacing w:line="523.6363636363636" w:lineRule="auto"/>
              <w:rPr/>
            </w:pPr>
            <w:r w:rsidDel="00000000" w:rsidR="00000000" w:rsidRPr="00000000">
              <w:rPr>
                <w:rtl w:val="0"/>
              </w:rPr>
              <w:t xml:space="preserve">0.295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0">
            <w:pPr>
              <w:spacing w:line="523.6363636363636" w:lineRule="auto"/>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1">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2">
            <w:pPr>
              <w:spacing w:line="523.6363636363636" w:lineRule="auto"/>
              <w:rPr/>
            </w:pPr>
            <w:r w:rsidDel="00000000" w:rsidR="00000000" w:rsidRPr="00000000">
              <w:rPr>
                <w:rtl w:val="0"/>
              </w:rPr>
              <w:t xml:space="preserve">0.170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3">
            <w:pPr>
              <w:spacing w:line="523.6363636363636" w:lineRule="auto"/>
              <w:rPr/>
            </w:pPr>
            <w:r w:rsidDel="00000000" w:rsidR="00000000" w:rsidRPr="00000000">
              <w:rPr>
                <w:rtl w:val="0"/>
              </w:rPr>
              <w:t xml:space="preserve">-0.420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4">
            <w:pPr>
              <w:spacing w:line="523.6363636363636" w:lineRule="auto"/>
              <w:rPr>
                <w:b w:val="1"/>
              </w:rPr>
            </w:pPr>
            <w:r w:rsidDel="00000000" w:rsidR="00000000" w:rsidRPr="00000000">
              <w:rPr>
                <w:b w:val="1"/>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5">
            <w:pPr>
              <w:spacing w:line="523.6363636363636" w:lineRule="auto"/>
              <w:rPr/>
            </w:pPr>
            <w:r w:rsidDel="00000000" w:rsidR="00000000" w:rsidRPr="00000000">
              <w:rPr>
                <w:rtl w:val="0"/>
              </w:rPr>
              <w:t xml:space="preserve">0.153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6">
            <w:pPr>
              <w:spacing w:line="523.6363636363636" w:lineRule="auto"/>
              <w:rPr/>
            </w:pPr>
            <w:r w:rsidDel="00000000" w:rsidR="00000000" w:rsidRPr="00000000">
              <w:rPr>
                <w:rtl w:val="0"/>
              </w:rPr>
              <w:t xml:space="preserve">-0.045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7">
            <w:pPr>
              <w:spacing w:line="523.6363636363636" w:lineRule="auto"/>
              <w:rPr/>
            </w:pPr>
            <w:r w:rsidDel="00000000" w:rsidR="00000000" w:rsidRPr="00000000">
              <w:rPr>
                <w:rtl w:val="0"/>
              </w:rPr>
              <w:t xml:space="preserve">0.492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8">
            <w:pPr>
              <w:spacing w:line="523.6363636363636"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9">
            <w:pPr>
              <w:spacing w:line="523.6363636363636" w:lineRule="auto"/>
              <w:rPr/>
            </w:pPr>
            <w:r w:rsidDel="00000000" w:rsidR="00000000" w:rsidRPr="00000000">
              <w:rPr>
                <w:rtl w:val="0"/>
              </w:rPr>
              <w:t xml:space="preserve">0.123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A">
            <w:pPr>
              <w:spacing w:line="523.6363636363636" w:lineRule="auto"/>
              <w:rPr/>
            </w:pPr>
            <w:r w:rsidDel="00000000" w:rsidR="00000000" w:rsidRPr="00000000">
              <w:rPr>
                <w:rtl w:val="0"/>
              </w:rPr>
              <w:t xml:space="preserve">-0.045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B">
            <w:pPr>
              <w:spacing w:line="523.6363636363636" w:lineRule="auto"/>
              <w:rPr/>
            </w:pPr>
            <w:r w:rsidDel="00000000" w:rsidR="00000000" w:rsidRPr="00000000">
              <w:rPr>
                <w:rtl w:val="0"/>
              </w:rPr>
              <w:t xml:space="preserve">-0.185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C">
            <w:pPr>
              <w:spacing w:line="523.6363636363636" w:lineRule="auto"/>
              <w:rPr/>
            </w:pPr>
            <w:r w:rsidDel="00000000" w:rsidR="00000000" w:rsidRPr="00000000">
              <w:rPr>
                <w:rtl w:val="0"/>
              </w:rPr>
              <w:t xml:space="preserve">0.230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D">
            <w:pPr>
              <w:spacing w:line="523.6363636363636" w:lineRule="auto"/>
              <w:rPr/>
            </w:pPr>
            <w:r w:rsidDel="00000000" w:rsidR="00000000" w:rsidRPr="00000000">
              <w:rPr>
                <w:rtl w:val="0"/>
              </w:rPr>
              <w:t xml:space="preserve">-0.252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E">
            <w:pPr>
              <w:spacing w:line="523.6363636363636" w:lineRule="auto"/>
              <w:rPr/>
            </w:pPr>
            <w:r w:rsidDel="00000000" w:rsidR="00000000" w:rsidRPr="00000000">
              <w:rPr>
                <w:rtl w:val="0"/>
              </w:rPr>
              <w:t xml:space="preserve">0.170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8F">
            <w:pPr>
              <w:spacing w:line="523.6363636363636"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0">
            <w:pPr>
              <w:spacing w:line="523.6363636363636" w:lineRule="auto"/>
              <w:rPr/>
            </w:pPr>
            <w:r w:rsidDel="00000000" w:rsidR="00000000" w:rsidRPr="00000000">
              <w:rPr>
                <w:rtl w:val="0"/>
              </w:rPr>
              <w:t xml:space="preserve">-0.327</w:t>
            </w:r>
          </w:p>
        </w:tc>
      </w:tr>
      <w:tr>
        <w:trPr>
          <w:cantSplit w:val="0"/>
          <w:trHeight w:val="452.1306818181818"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1">
            <w:pPr>
              <w:spacing w:line="523.6363636363636" w:lineRule="auto"/>
              <w:rPr>
                <w:b w:val="1"/>
              </w:rPr>
            </w:pPr>
            <w:r w:rsidDel="00000000" w:rsidR="00000000" w:rsidRPr="00000000">
              <w:rPr>
                <w:b w:val="1"/>
                <w:rtl w:val="0"/>
              </w:rPr>
              <w:t xml:space="preserve">12</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2">
            <w:pPr>
              <w:spacing w:line="523.6363636363636" w:lineRule="auto"/>
              <w:rPr/>
            </w:pPr>
            <w:r w:rsidDel="00000000" w:rsidR="00000000" w:rsidRPr="00000000">
              <w:rPr>
                <w:rtl w:val="0"/>
              </w:rPr>
              <w:t xml:space="preserve">0.024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3">
            <w:pPr>
              <w:spacing w:line="523.6363636363636" w:lineRule="auto"/>
              <w:rPr/>
            </w:pPr>
            <w:r w:rsidDel="00000000" w:rsidR="00000000" w:rsidRPr="00000000">
              <w:rPr>
                <w:rtl w:val="0"/>
              </w:rPr>
              <w:t xml:space="preserve">0.438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4">
            <w:pPr>
              <w:spacing w:line="523.6363636363636" w:lineRule="auto"/>
              <w:rPr/>
            </w:pPr>
            <w:r w:rsidDel="00000000" w:rsidR="00000000" w:rsidRPr="00000000">
              <w:rPr>
                <w:rtl w:val="0"/>
              </w:rPr>
              <w:t xml:space="preserve">-0.116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5">
            <w:pPr>
              <w:spacing w:line="523.6363636363636" w:lineRule="auto"/>
              <w:rPr/>
            </w:pPr>
            <w:r w:rsidDel="00000000" w:rsidR="00000000" w:rsidRPr="00000000">
              <w:rPr>
                <w:rtl w:val="0"/>
              </w:rPr>
              <w:t xml:space="preserve">0.554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6">
            <w:pPr>
              <w:spacing w:line="523.6363636363636" w:lineRule="auto"/>
              <w:rPr/>
            </w:pPr>
            <w:r w:rsidDel="00000000" w:rsidR="00000000" w:rsidRPr="00000000">
              <w:rPr>
                <w:rtl w:val="0"/>
              </w:rPr>
              <w:t xml:space="preserve">0.263</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7">
            <w:pPr>
              <w:spacing w:line="523.6363636363636" w:lineRule="auto"/>
              <w:rPr/>
            </w:pPr>
            <w:r w:rsidDel="00000000" w:rsidR="00000000" w:rsidRPr="00000000">
              <w:rPr>
                <w:rtl w:val="0"/>
              </w:rPr>
              <w:t xml:space="preserve">0.435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8">
            <w:pPr>
              <w:spacing w:line="523.6363636363636" w:lineRule="auto"/>
              <w:rPr/>
            </w:pPr>
            <w:r w:rsidDel="00000000" w:rsidR="00000000" w:rsidRPr="00000000">
              <w:rPr>
                <w:rtl w:val="0"/>
              </w:rPr>
              <w:t xml:space="preserve">0.127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9">
            <w:pPr>
              <w:spacing w:line="523.6363636363636" w:lineRule="auto"/>
              <w:rPr/>
            </w:pPr>
            <w:r w:rsidDel="00000000" w:rsidR="00000000" w:rsidRPr="00000000">
              <w:rPr>
                <w:rtl w:val="0"/>
              </w:rPr>
              <w:t xml:space="preserve">0.074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A">
            <w:pPr>
              <w:spacing w:line="523.6363636363636" w:lineRule="auto"/>
              <w:rPr/>
            </w:pPr>
            <w:r w:rsidDel="00000000" w:rsidR="00000000" w:rsidRPr="00000000">
              <w:rPr>
                <w:rtl w:val="0"/>
              </w:rPr>
              <w:t xml:space="preserve">-0.156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B">
            <w:pPr>
              <w:spacing w:line="523.6363636363636" w:lineRule="auto"/>
              <w:rPr/>
            </w:pPr>
            <w:r w:rsidDel="00000000" w:rsidR="00000000" w:rsidRPr="00000000">
              <w:rPr>
                <w:rtl w:val="0"/>
              </w:rPr>
              <w:t xml:space="preserve">-0.420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C">
            <w:pPr>
              <w:spacing w:line="523.6363636363636" w:lineRule="auto"/>
              <w:rPr/>
            </w:pPr>
            <w:r w:rsidDel="00000000" w:rsidR="00000000" w:rsidRPr="00000000">
              <w:rPr>
                <w:rtl w:val="0"/>
              </w:rPr>
              <w:t xml:space="preserve">-0.327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9D">
            <w:pPr>
              <w:spacing w:line="523.6363636363636" w:lineRule="auto"/>
              <w:rPr/>
            </w:pPr>
            <w:r w:rsidDel="00000000" w:rsidR="00000000" w:rsidRPr="00000000">
              <w:rPr>
                <w:rtl w:val="0"/>
              </w:rPr>
              <w:t xml:space="preserve">1.000</w:t>
            </w:r>
          </w:p>
        </w:tc>
      </w:tr>
    </w:tbl>
    <w:p w:rsidR="00000000" w:rsidDel="00000000" w:rsidP="00000000" w:rsidRDefault="00000000" w:rsidRPr="00000000" w14:paraId="0000059E">
      <w:pPr>
        <w:rPr>
          <w:b w:val="1"/>
        </w:rPr>
      </w:pPr>
      <w:r w:rsidDel="00000000" w:rsidR="00000000" w:rsidRPr="00000000">
        <w:rPr>
          <w:rtl w:val="0"/>
        </w:rPr>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530"/>
        <w:tblGridChange w:id="0">
          <w:tblGrid>
            <w:gridCol w:w="4380"/>
            <w:gridCol w:w="4530"/>
          </w:tblGrid>
        </w:tblGridChange>
      </w:tblGrid>
      <w:tr>
        <w:trPr>
          <w:cantSplit w:val="0"/>
          <w:trHeight w:val="285" w:hRule="atLeast"/>
          <w:tblHeader w:val="0"/>
        </w:trPr>
        <w:tc>
          <w:tcPr>
            <w:gridSpan w:val="2"/>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59F">
            <w:pPr>
              <w:spacing w:after="0" w:lineRule="auto"/>
              <w:jc w:val="center"/>
              <w:rPr>
                <w:b w:val="1"/>
              </w:rPr>
            </w:pPr>
            <w:r w:rsidDel="00000000" w:rsidR="00000000" w:rsidRPr="00000000">
              <w:rPr>
                <w:b w:val="1"/>
                <w:rtl w:val="0"/>
              </w:rPr>
              <w:t xml:space="preserve">Table A3 Key</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1">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2">
            <w:pPr>
              <w:spacing w:after="0" w:lineRule="auto"/>
              <w:rPr/>
            </w:pPr>
            <w:r w:rsidDel="00000000" w:rsidR="00000000" w:rsidRPr="00000000">
              <w:rPr>
                <w:rtl w:val="0"/>
              </w:rPr>
              <w:t xml:space="preserve">Population in Millions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3">
            <w:pPr>
              <w:spacing w:after="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4">
            <w:pPr>
              <w:spacing w:after="0" w:lineRule="auto"/>
              <w:rPr/>
            </w:pPr>
            <w:r w:rsidDel="00000000" w:rsidR="00000000" w:rsidRPr="00000000">
              <w:rPr>
                <w:rtl w:val="0"/>
              </w:rPr>
              <w:t xml:space="preserve">Percapita Health Spending</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5">
            <w:pPr>
              <w:spacing w:after="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6">
            <w:pPr>
              <w:spacing w:after="0" w:lineRule="auto"/>
              <w:rPr/>
            </w:pPr>
            <w:r w:rsidDel="00000000" w:rsidR="00000000" w:rsidRPr="00000000">
              <w:rPr>
                <w:rtl w:val="0"/>
              </w:rPr>
              <w:t xml:space="preserve">Percapita Medicaid Enrollment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7">
            <w:pPr>
              <w:spacing w:after="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8">
            <w:pPr>
              <w:spacing w:after="0" w:lineRule="auto"/>
              <w:rPr/>
            </w:pPr>
            <w:r w:rsidDel="00000000" w:rsidR="00000000" w:rsidRPr="00000000">
              <w:rPr>
                <w:rtl w:val="0"/>
              </w:rPr>
              <w:t xml:space="preserve">Lagged Drug Use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9">
            <w:pPr>
              <w:spacing w:after="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A">
            <w:pPr>
              <w:spacing w:after="0" w:lineRule="auto"/>
              <w:rPr/>
            </w:pPr>
            <w:r w:rsidDel="00000000" w:rsidR="00000000" w:rsidRPr="00000000">
              <w:rPr>
                <w:rtl w:val="0"/>
              </w:rPr>
              <w:t xml:space="preserve">Lagged AUD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B">
            <w:pPr>
              <w:spacing w:after="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C">
            <w:pPr>
              <w:spacing w:after="0" w:lineRule="auto"/>
              <w:rPr/>
            </w:pPr>
            <w:r w:rsidDel="00000000" w:rsidR="00000000" w:rsidRPr="00000000">
              <w:rPr>
                <w:rtl w:val="0"/>
              </w:rPr>
              <w:t xml:space="preserve">Lagged Marijuana Use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D">
            <w:pPr>
              <w:spacing w:after="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E">
            <w:pPr>
              <w:spacing w:after="0" w:lineRule="auto"/>
              <w:rPr/>
            </w:pPr>
            <w:r w:rsidDel="00000000" w:rsidR="00000000" w:rsidRPr="00000000">
              <w:rPr>
                <w:rtl w:val="0"/>
              </w:rPr>
              <w:t xml:space="preserve">Male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AF">
            <w:pPr>
              <w:spacing w:after="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0">
            <w:pPr>
              <w:spacing w:after="0" w:lineRule="auto"/>
              <w:rPr/>
            </w:pPr>
            <w:r w:rsidDel="00000000" w:rsidR="00000000" w:rsidRPr="00000000">
              <w:rPr>
                <w:rtl w:val="0"/>
              </w:rPr>
              <w:t xml:space="preserve">Hispanic</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1">
            <w:pPr>
              <w:spacing w:after="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2">
            <w:pPr>
              <w:spacing w:after="0" w:lineRule="auto"/>
              <w:rPr/>
            </w:pPr>
            <w:r w:rsidDel="00000000" w:rsidR="00000000" w:rsidRPr="00000000">
              <w:rPr>
                <w:rtl w:val="0"/>
              </w:rPr>
              <w:t xml:space="preserve">White Race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3">
            <w:pPr>
              <w:spacing w:after="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4">
            <w:pPr>
              <w:spacing w:after="0" w:lineRule="auto"/>
              <w:rPr/>
            </w:pPr>
            <w:r w:rsidDel="00000000" w:rsidR="00000000" w:rsidRPr="00000000">
              <w:rPr>
                <w:rtl w:val="0"/>
              </w:rPr>
              <w:t xml:space="preserve">Uninsured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5">
            <w:pPr>
              <w:spacing w:after="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6">
            <w:pPr>
              <w:spacing w:after="0" w:lineRule="auto"/>
              <w:rPr/>
            </w:pPr>
            <w:r w:rsidDel="00000000" w:rsidR="00000000" w:rsidRPr="00000000">
              <w:rPr>
                <w:rtl w:val="0"/>
              </w:rPr>
              <w:t xml:space="preserve">Unemployment</w:t>
            </w:r>
          </w:p>
        </w:tc>
      </w:tr>
      <w:tr>
        <w:trPr>
          <w:cantSplit w:val="0"/>
          <w:trHeight w:val="28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7">
            <w:pPr>
              <w:spacing w:after="0" w:lineRule="auto"/>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8">
            <w:pPr>
              <w:spacing w:after="0" w:lineRule="auto"/>
              <w:rPr/>
            </w:pPr>
            <w:r w:rsidDel="00000000" w:rsidR="00000000" w:rsidRPr="00000000">
              <w:rPr>
                <w:rtl w:val="0"/>
              </w:rPr>
              <w:t xml:space="preserve">Income</w:t>
            </w:r>
          </w:p>
        </w:tc>
      </w:tr>
    </w:tbl>
    <w:p w:rsidR="00000000" w:rsidDel="00000000" w:rsidP="00000000" w:rsidRDefault="00000000" w:rsidRPr="00000000" w14:paraId="000005B9">
      <w:pPr>
        <w:rPr/>
      </w:pPr>
      <w:r w:rsidDel="00000000" w:rsidR="00000000" w:rsidRPr="00000000">
        <w:rPr>
          <w:rtl w:val="0"/>
        </w:rPr>
      </w:r>
    </w:p>
    <w:tbl>
      <w:tblPr>
        <w:tblStyle w:val="Table8"/>
        <w:tblW w:w="11250.0" w:type="dxa"/>
        <w:jc w:val="left"/>
        <w:tblInd w:w="-1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100"/>
        <w:gridCol w:w="2145"/>
        <w:gridCol w:w="2580"/>
        <w:gridCol w:w="1860"/>
        <w:tblGridChange w:id="0">
          <w:tblGrid>
            <w:gridCol w:w="2565"/>
            <w:gridCol w:w="2100"/>
            <w:gridCol w:w="2145"/>
            <w:gridCol w:w="2580"/>
            <w:gridCol w:w="1860"/>
          </w:tblGrid>
        </w:tblGridChange>
      </w:tblGrid>
      <w:tr>
        <w:trPr>
          <w:cantSplit w:val="0"/>
          <w:trHeight w:val="555" w:hRule="atLeast"/>
          <w:tblHeader w:val="0"/>
        </w:trPr>
        <w:tc>
          <w:tcPr>
            <w:gridSpan w:val="5"/>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5BA">
            <w:pPr>
              <w:jc w:val="center"/>
              <w:rPr>
                <w:b w:val="1"/>
              </w:rPr>
            </w:pPr>
            <w:r w:rsidDel="00000000" w:rsidR="00000000" w:rsidRPr="00000000">
              <w:rPr>
                <w:b w:val="1"/>
                <w:rtl w:val="0"/>
              </w:rPr>
              <w:t xml:space="preserve">Table A4 - </w:t>
            </w:r>
            <w:r w:rsidDel="00000000" w:rsidR="00000000" w:rsidRPr="00000000">
              <w:rPr>
                <w:b w:val="1"/>
                <w:rtl w:val="0"/>
              </w:rPr>
              <w:t xml:space="preserve"> State level random effects (sorted increasing)</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BF">
            <w:pPr>
              <w:jc w:val="center"/>
              <w:rPr/>
            </w:pPr>
            <w:r w:rsidDel="00000000" w:rsidR="00000000" w:rsidRPr="00000000">
              <w:rPr>
                <w:rtl w:val="0"/>
              </w:rPr>
              <w:t xml:space="preserve">State_Name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0">
            <w:pPr>
              <w:jc w:val="center"/>
              <w:rPr/>
            </w:pPr>
            <w:r w:rsidDel="00000000" w:rsidR="00000000" w:rsidRPr="00000000">
              <w:rPr>
                <w:rtl w:val="0"/>
              </w:rPr>
              <w:t xml:space="preserve">Forprofit_Intercept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1">
            <w:pPr>
              <w:jc w:val="center"/>
              <w:rPr/>
            </w:pPr>
            <w:r w:rsidDel="00000000" w:rsidR="00000000" w:rsidRPr="00000000">
              <w:rPr>
                <w:rtl w:val="0"/>
              </w:rPr>
              <w:t xml:space="preserve">NonProfit_Intercept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2">
            <w:pPr>
              <w:jc w:val="center"/>
              <w:rPr/>
            </w:pPr>
            <w:r w:rsidDel="00000000" w:rsidR="00000000" w:rsidRPr="00000000">
              <w:rPr>
                <w:rtl w:val="0"/>
              </w:rPr>
              <w:t xml:space="preserve">Government_Intercept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3">
            <w:pPr>
              <w:jc w:val="center"/>
              <w:rPr/>
            </w:pPr>
            <w:r w:rsidDel="00000000" w:rsidR="00000000" w:rsidRPr="00000000">
              <w:rPr>
                <w:rtl w:val="0"/>
              </w:rPr>
              <w:t xml:space="preserve">Total_Intercept</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4">
            <w:pPr>
              <w:rPr/>
            </w:pPr>
            <w:r w:rsidDel="00000000" w:rsidR="00000000" w:rsidRPr="00000000">
              <w:rPr>
                <w:rtl w:val="0"/>
              </w:rPr>
              <w:t xml:space="preserve">District of Columbia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5">
            <w:pPr>
              <w:rPr/>
            </w:pPr>
            <w:r w:rsidDel="00000000" w:rsidR="00000000" w:rsidRPr="00000000">
              <w:rPr>
                <w:rtl w:val="0"/>
              </w:rPr>
              <w:t xml:space="preserve">-1.55298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6">
            <w:pPr>
              <w:rPr/>
            </w:pPr>
            <w:r w:rsidDel="00000000" w:rsidR="00000000" w:rsidRPr="00000000">
              <w:rPr>
                <w:rtl w:val="0"/>
              </w:rPr>
              <w:t xml:space="preserve">-1.32035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7">
            <w:pPr>
              <w:rPr/>
            </w:pPr>
            <w:r w:rsidDel="00000000" w:rsidR="00000000" w:rsidRPr="00000000">
              <w:rPr>
                <w:rtl w:val="0"/>
              </w:rPr>
              <w:t xml:space="preserve">-1.33976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8">
            <w:pPr>
              <w:rPr/>
            </w:pPr>
            <w:r w:rsidDel="00000000" w:rsidR="00000000" w:rsidRPr="00000000">
              <w:rPr>
                <w:rtl w:val="0"/>
              </w:rPr>
              <w:t xml:space="preserve">-1.38309</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9">
            <w:pPr>
              <w:rPr/>
            </w:pPr>
            <w:r w:rsidDel="00000000" w:rsidR="00000000" w:rsidRPr="00000000">
              <w:rPr>
                <w:rtl w:val="0"/>
              </w:rPr>
              <w:t xml:space="preserve">Delaware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A">
            <w:pPr>
              <w:rPr/>
            </w:pPr>
            <w:r w:rsidDel="00000000" w:rsidR="00000000" w:rsidRPr="00000000">
              <w:rPr>
                <w:rtl w:val="0"/>
              </w:rPr>
              <w:t xml:space="preserve">-0.84325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B">
            <w:pPr>
              <w:rPr/>
            </w:pPr>
            <w:r w:rsidDel="00000000" w:rsidR="00000000" w:rsidRPr="00000000">
              <w:rPr>
                <w:rtl w:val="0"/>
              </w:rPr>
              <w:t xml:space="preserve">-1.16131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C">
            <w:pPr>
              <w:rPr/>
            </w:pPr>
            <w:r w:rsidDel="00000000" w:rsidR="00000000" w:rsidRPr="00000000">
              <w:rPr>
                <w:rtl w:val="0"/>
              </w:rPr>
              <w:t xml:space="preserve">-1.51929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D">
            <w:pPr>
              <w:rPr/>
            </w:pPr>
            <w:r w:rsidDel="00000000" w:rsidR="00000000" w:rsidRPr="00000000">
              <w:rPr>
                <w:rtl w:val="0"/>
              </w:rPr>
              <w:t xml:space="preserve">-1.13931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E">
            <w:pPr>
              <w:rPr/>
            </w:pPr>
            <w:r w:rsidDel="00000000" w:rsidR="00000000" w:rsidRPr="00000000">
              <w:rPr>
                <w:rtl w:val="0"/>
              </w:rPr>
              <w:t xml:space="preserve">Vermont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CF">
            <w:pPr>
              <w:rPr/>
            </w:pPr>
            <w:r w:rsidDel="00000000" w:rsidR="00000000" w:rsidRPr="00000000">
              <w:rPr>
                <w:rtl w:val="0"/>
              </w:rPr>
              <w:t xml:space="preserve">-1.76173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0">
            <w:pPr>
              <w:rPr/>
            </w:pPr>
            <w:r w:rsidDel="00000000" w:rsidR="00000000" w:rsidRPr="00000000">
              <w:rPr>
                <w:rtl w:val="0"/>
              </w:rPr>
              <w:t xml:space="preserve">-0.56538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1">
            <w:pPr>
              <w:rPr/>
            </w:pPr>
            <w:r w:rsidDel="00000000" w:rsidR="00000000" w:rsidRPr="00000000">
              <w:rPr>
                <w:rtl w:val="0"/>
              </w:rPr>
              <w:t xml:space="preserve">-1.39063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2">
            <w:pPr>
              <w:rPr/>
            </w:pPr>
            <w:r w:rsidDel="00000000" w:rsidR="00000000" w:rsidRPr="00000000">
              <w:rPr>
                <w:rtl w:val="0"/>
              </w:rPr>
              <w:t xml:space="preserve">-0.99901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3">
            <w:pPr>
              <w:rPr/>
            </w:pPr>
            <w:r w:rsidDel="00000000" w:rsidR="00000000" w:rsidRPr="00000000">
              <w:rPr>
                <w:rtl w:val="0"/>
              </w:rPr>
              <w:t xml:space="preserve">Rhode Island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4">
            <w:pPr>
              <w:rPr/>
            </w:pPr>
            <w:r w:rsidDel="00000000" w:rsidR="00000000" w:rsidRPr="00000000">
              <w:rPr>
                <w:rtl w:val="0"/>
              </w:rPr>
              <w:t xml:space="preserve">-1.03349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5">
            <w:pPr>
              <w:rPr/>
            </w:pPr>
            <w:r w:rsidDel="00000000" w:rsidR="00000000" w:rsidRPr="00000000">
              <w:rPr>
                <w:rtl w:val="0"/>
              </w:rPr>
              <w:t xml:space="preserve">-0.72748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6">
            <w:pPr>
              <w:rPr/>
            </w:pPr>
            <w:r w:rsidDel="00000000" w:rsidR="00000000" w:rsidRPr="00000000">
              <w:rPr>
                <w:rtl w:val="0"/>
              </w:rPr>
              <w:t xml:space="preserve">-1.00016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7">
            <w:pPr>
              <w:rPr/>
            </w:pPr>
            <w:r w:rsidDel="00000000" w:rsidR="00000000" w:rsidRPr="00000000">
              <w:rPr>
                <w:rtl w:val="0"/>
              </w:rPr>
              <w:t xml:space="preserve">-0.90855</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8">
            <w:pPr>
              <w:rPr/>
            </w:pPr>
            <w:r w:rsidDel="00000000" w:rsidR="00000000" w:rsidRPr="00000000">
              <w:rPr>
                <w:rtl w:val="0"/>
              </w:rPr>
              <w:t xml:space="preserve">Texas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9">
            <w:pPr>
              <w:rPr/>
            </w:pPr>
            <w:r w:rsidDel="00000000" w:rsidR="00000000" w:rsidRPr="00000000">
              <w:rPr>
                <w:rtl w:val="0"/>
              </w:rPr>
              <w:t xml:space="preserve">-0.7195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A">
            <w:pPr>
              <w:rPr/>
            </w:pPr>
            <w:r w:rsidDel="00000000" w:rsidR="00000000" w:rsidRPr="00000000">
              <w:rPr>
                <w:rtl w:val="0"/>
              </w:rPr>
              <w:t xml:space="preserve">-0.89664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B">
            <w:pPr>
              <w:rPr/>
            </w:pPr>
            <w:r w:rsidDel="00000000" w:rsidR="00000000" w:rsidRPr="00000000">
              <w:rPr>
                <w:rtl w:val="0"/>
              </w:rPr>
              <w:t xml:space="preserve">-1.14762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C">
            <w:pPr>
              <w:rPr/>
            </w:pPr>
            <w:r w:rsidDel="00000000" w:rsidR="00000000" w:rsidRPr="00000000">
              <w:rPr>
                <w:rtl w:val="0"/>
              </w:rPr>
              <w:t xml:space="preserve">-0.90614</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D">
            <w:pPr>
              <w:rPr/>
            </w:pPr>
            <w:r w:rsidDel="00000000" w:rsidR="00000000" w:rsidRPr="00000000">
              <w:rPr>
                <w:rtl w:val="0"/>
              </w:rPr>
              <w:t xml:space="preserve">New Hampshire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E">
            <w:pPr>
              <w:rPr/>
            </w:pPr>
            <w:r w:rsidDel="00000000" w:rsidR="00000000" w:rsidRPr="00000000">
              <w:rPr>
                <w:rtl w:val="0"/>
              </w:rPr>
              <w:t xml:space="preserve">-0.48721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DF">
            <w:pPr>
              <w:rPr/>
            </w:pPr>
            <w:r w:rsidDel="00000000" w:rsidR="00000000" w:rsidRPr="00000000">
              <w:rPr>
                <w:rtl w:val="0"/>
              </w:rPr>
              <w:t xml:space="preserve">-0.72857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0">
            <w:pPr>
              <w:rPr/>
            </w:pPr>
            <w:r w:rsidDel="00000000" w:rsidR="00000000" w:rsidRPr="00000000">
              <w:rPr>
                <w:rtl w:val="0"/>
              </w:rPr>
              <w:t xml:space="preserve">-1.81757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1">
            <w:pPr>
              <w:rPr/>
            </w:pPr>
            <w:r w:rsidDel="00000000" w:rsidR="00000000" w:rsidRPr="00000000">
              <w:rPr>
                <w:rtl w:val="0"/>
              </w:rPr>
              <w:t xml:space="preserve">-0.76028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2">
            <w:pPr>
              <w:rPr/>
            </w:pPr>
            <w:r w:rsidDel="00000000" w:rsidR="00000000" w:rsidRPr="00000000">
              <w:rPr>
                <w:rtl w:val="0"/>
              </w:rPr>
              <w:t xml:space="preserve">California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3">
            <w:pPr>
              <w:rPr/>
            </w:pPr>
            <w:r w:rsidDel="00000000" w:rsidR="00000000" w:rsidRPr="00000000">
              <w:rPr>
                <w:rtl w:val="0"/>
              </w:rPr>
              <w:t xml:space="preserve">-1.11733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4">
            <w:pPr>
              <w:rPr/>
            </w:pPr>
            <w:r w:rsidDel="00000000" w:rsidR="00000000" w:rsidRPr="00000000">
              <w:rPr>
                <w:rtl w:val="0"/>
              </w:rPr>
              <w:t xml:space="preserve">-0.18478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5">
            <w:pPr>
              <w:rPr/>
            </w:pPr>
            <w:r w:rsidDel="00000000" w:rsidR="00000000" w:rsidRPr="00000000">
              <w:rPr>
                <w:rtl w:val="0"/>
              </w:rPr>
              <w:t xml:space="preserve">-0.71487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6">
            <w:pPr>
              <w:rPr/>
            </w:pPr>
            <w:r w:rsidDel="00000000" w:rsidR="00000000" w:rsidRPr="00000000">
              <w:rPr>
                <w:rtl w:val="0"/>
              </w:rPr>
              <w:t xml:space="preserve">-0.72678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7">
            <w:pPr>
              <w:rPr/>
            </w:pPr>
            <w:r w:rsidDel="00000000" w:rsidR="00000000" w:rsidRPr="00000000">
              <w:rPr>
                <w:rtl w:val="0"/>
              </w:rPr>
              <w:t xml:space="preserve">Wyoming</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8">
            <w:pPr>
              <w:rPr/>
            </w:pPr>
            <w:r w:rsidDel="00000000" w:rsidR="00000000" w:rsidRPr="00000000">
              <w:rPr>
                <w:rtl w:val="0"/>
              </w:rPr>
              <w:t xml:space="preserve">-1.18175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9">
            <w:pPr>
              <w:rPr/>
            </w:pPr>
            <w:r w:rsidDel="00000000" w:rsidR="00000000" w:rsidRPr="00000000">
              <w:rPr>
                <w:rtl w:val="0"/>
              </w:rPr>
              <w:t xml:space="preserve">-0.59613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A">
            <w:pPr>
              <w:rPr/>
            </w:pPr>
            <w:r w:rsidDel="00000000" w:rsidR="00000000" w:rsidRPr="00000000">
              <w:rPr>
                <w:rtl w:val="0"/>
              </w:rPr>
              <w:t xml:space="preserve">-0.2858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B">
            <w:pPr>
              <w:rPr/>
            </w:pPr>
            <w:r w:rsidDel="00000000" w:rsidR="00000000" w:rsidRPr="00000000">
              <w:rPr>
                <w:rtl w:val="0"/>
              </w:rPr>
              <w:t xml:space="preserve">-0.71562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C">
            <w:pPr>
              <w:rPr/>
            </w:pPr>
            <w:r w:rsidDel="00000000" w:rsidR="00000000" w:rsidRPr="00000000">
              <w:rPr>
                <w:rtl w:val="0"/>
              </w:rPr>
              <w:t xml:space="preserve">South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D">
            <w:pPr>
              <w:rPr/>
            </w:pPr>
            <w:r w:rsidDel="00000000" w:rsidR="00000000" w:rsidRPr="00000000">
              <w:rPr>
                <w:rtl w:val="0"/>
              </w:rPr>
              <w:t xml:space="preserve">-1.03593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E">
            <w:pPr>
              <w:rPr/>
            </w:pPr>
            <w:r w:rsidDel="00000000" w:rsidR="00000000" w:rsidRPr="00000000">
              <w:rPr>
                <w:rtl w:val="0"/>
              </w:rPr>
              <w:t xml:space="preserve">-0.66351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F">
            <w:pPr>
              <w:rPr/>
            </w:pPr>
            <w:r w:rsidDel="00000000" w:rsidR="00000000" w:rsidRPr="00000000">
              <w:rPr>
                <w:rtl w:val="0"/>
              </w:rPr>
              <w:t xml:space="preserve">0.288743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0">
            <w:pPr>
              <w:rPr/>
            </w:pPr>
            <w:r w:rsidDel="00000000" w:rsidR="00000000" w:rsidRPr="00000000">
              <w:rPr>
                <w:rtl w:val="0"/>
              </w:rPr>
              <w:t xml:space="preserve">-0.61925</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1">
            <w:pPr>
              <w:rPr/>
            </w:pPr>
            <w:r w:rsidDel="00000000" w:rsidR="00000000" w:rsidRPr="00000000">
              <w:rPr>
                <w:rtl w:val="0"/>
              </w:rPr>
              <w:t xml:space="preserve">Montana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2">
            <w:pPr>
              <w:rPr/>
            </w:pPr>
            <w:r w:rsidDel="00000000" w:rsidR="00000000" w:rsidRPr="00000000">
              <w:rPr>
                <w:rtl w:val="0"/>
              </w:rPr>
              <w:t xml:space="preserve">-0.66891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3">
            <w:pPr>
              <w:rPr/>
            </w:pPr>
            <w:r w:rsidDel="00000000" w:rsidR="00000000" w:rsidRPr="00000000">
              <w:rPr>
                <w:rtl w:val="0"/>
              </w:rPr>
              <w:t xml:space="preserve">-0.49084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4">
            <w:pPr>
              <w:rPr/>
            </w:pPr>
            <w:r w:rsidDel="00000000" w:rsidR="00000000" w:rsidRPr="00000000">
              <w:rPr>
                <w:rtl w:val="0"/>
              </w:rPr>
              <w:t xml:space="preserve">0.160991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5">
            <w:pPr>
              <w:rPr/>
            </w:pPr>
            <w:r w:rsidDel="00000000" w:rsidR="00000000" w:rsidRPr="00000000">
              <w:rPr>
                <w:rtl w:val="0"/>
              </w:rPr>
              <w:t xml:space="preserve">-0.50311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6">
            <w:pPr>
              <w:rPr/>
            </w:pPr>
            <w:r w:rsidDel="00000000" w:rsidR="00000000" w:rsidRPr="00000000">
              <w:rPr>
                <w:rtl w:val="0"/>
              </w:rPr>
              <w:t xml:space="preserve">South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7">
            <w:pPr>
              <w:rPr/>
            </w:pPr>
            <w:r w:rsidDel="00000000" w:rsidR="00000000" w:rsidRPr="00000000">
              <w:rPr>
                <w:rtl w:val="0"/>
              </w:rPr>
              <w:t xml:space="preserve">-0.47833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8">
            <w:pPr>
              <w:rPr/>
            </w:pPr>
            <w:r w:rsidDel="00000000" w:rsidR="00000000" w:rsidRPr="00000000">
              <w:rPr>
                <w:rtl w:val="0"/>
              </w:rPr>
              <w:t xml:space="preserve">-0.90692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9">
            <w:pPr>
              <w:rPr/>
            </w:pPr>
            <w:r w:rsidDel="00000000" w:rsidR="00000000" w:rsidRPr="00000000">
              <w:rPr>
                <w:rtl w:val="0"/>
              </w:rPr>
              <w:t xml:space="preserve">0.943985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A">
            <w:pPr>
              <w:rPr/>
            </w:pPr>
            <w:r w:rsidDel="00000000" w:rsidR="00000000" w:rsidRPr="00000000">
              <w:rPr>
                <w:rtl w:val="0"/>
              </w:rPr>
              <w:t xml:space="preserve">-0.50293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B">
            <w:pPr>
              <w:rPr/>
            </w:pPr>
            <w:r w:rsidDel="00000000" w:rsidR="00000000" w:rsidRPr="00000000">
              <w:rPr>
                <w:rtl w:val="0"/>
              </w:rPr>
              <w:t xml:space="preserve">Nevada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C">
            <w:pPr>
              <w:rPr/>
            </w:pPr>
            <w:r w:rsidDel="00000000" w:rsidR="00000000" w:rsidRPr="00000000">
              <w:rPr>
                <w:rtl w:val="0"/>
              </w:rPr>
              <w:t xml:space="preserve">-0.28387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D">
            <w:pPr>
              <w:rPr/>
            </w:pPr>
            <w:r w:rsidDel="00000000" w:rsidR="00000000" w:rsidRPr="00000000">
              <w:rPr>
                <w:rtl w:val="0"/>
              </w:rPr>
              <w:t xml:space="preserve">-0.53326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E">
            <w:pPr>
              <w:rPr/>
            </w:pPr>
            <w:r w:rsidDel="00000000" w:rsidR="00000000" w:rsidRPr="00000000">
              <w:rPr>
                <w:rtl w:val="0"/>
              </w:rPr>
              <w:t xml:space="preserve">-0.51899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F">
            <w:pPr>
              <w:rPr/>
            </w:pPr>
            <w:r w:rsidDel="00000000" w:rsidR="00000000" w:rsidRPr="00000000">
              <w:rPr>
                <w:rtl w:val="0"/>
              </w:rPr>
              <w:t xml:space="preserve">-0.48674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0">
            <w:pPr>
              <w:rPr/>
            </w:pPr>
            <w:r w:rsidDel="00000000" w:rsidR="00000000" w:rsidRPr="00000000">
              <w:rPr>
                <w:rtl w:val="0"/>
              </w:rPr>
              <w:t xml:space="preserve">North Dakota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1">
            <w:pPr>
              <w:rPr/>
            </w:pPr>
            <w:r w:rsidDel="00000000" w:rsidR="00000000" w:rsidRPr="00000000">
              <w:rPr>
                <w:rtl w:val="0"/>
              </w:rPr>
              <w:t xml:space="preserve">0.077222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2">
            <w:pPr>
              <w:rPr/>
            </w:pPr>
            <w:r w:rsidDel="00000000" w:rsidR="00000000" w:rsidRPr="00000000">
              <w:rPr>
                <w:rtl w:val="0"/>
              </w:rPr>
              <w:t xml:space="preserve">-1.06675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3">
            <w:pPr>
              <w:rPr/>
            </w:pPr>
            <w:r w:rsidDel="00000000" w:rsidR="00000000" w:rsidRPr="00000000">
              <w:rPr>
                <w:rtl w:val="0"/>
              </w:rPr>
              <w:t xml:space="preserve">0.09494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4">
            <w:pPr>
              <w:rPr/>
            </w:pPr>
            <w:r w:rsidDel="00000000" w:rsidR="00000000" w:rsidRPr="00000000">
              <w:rPr>
                <w:rtl w:val="0"/>
              </w:rPr>
              <w:t xml:space="preserve">-0.48152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5">
            <w:pPr>
              <w:rPr/>
            </w:pPr>
            <w:r w:rsidDel="00000000" w:rsidR="00000000" w:rsidRPr="00000000">
              <w:rPr>
                <w:rtl w:val="0"/>
              </w:rPr>
              <w:t xml:space="preserve">Mississippi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6">
            <w:pPr>
              <w:rPr/>
            </w:pPr>
            <w:r w:rsidDel="00000000" w:rsidR="00000000" w:rsidRPr="00000000">
              <w:rPr>
                <w:rtl w:val="0"/>
              </w:rPr>
              <w:t xml:space="preserve">-0.45731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7">
            <w:pPr>
              <w:rPr/>
            </w:pPr>
            <w:r w:rsidDel="00000000" w:rsidR="00000000" w:rsidRPr="00000000">
              <w:rPr>
                <w:rtl w:val="0"/>
              </w:rPr>
              <w:t xml:space="preserve">-0.55731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8">
            <w:pPr>
              <w:rPr/>
            </w:pPr>
            <w:r w:rsidDel="00000000" w:rsidR="00000000" w:rsidRPr="00000000">
              <w:rPr>
                <w:rtl w:val="0"/>
              </w:rPr>
              <w:t xml:space="preserve">0.607161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9">
            <w:pPr>
              <w:rPr/>
            </w:pPr>
            <w:r w:rsidDel="00000000" w:rsidR="00000000" w:rsidRPr="00000000">
              <w:rPr>
                <w:rtl w:val="0"/>
              </w:rPr>
              <w:t xml:space="preserve">-0.3977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A">
            <w:pPr>
              <w:rPr/>
            </w:pPr>
            <w:r w:rsidDel="00000000" w:rsidR="00000000" w:rsidRPr="00000000">
              <w:rPr>
                <w:rtl w:val="0"/>
              </w:rPr>
              <w:t xml:space="preserve">Alabama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B">
            <w:pPr>
              <w:rPr/>
            </w:pPr>
            <w:r w:rsidDel="00000000" w:rsidR="00000000" w:rsidRPr="00000000">
              <w:rPr>
                <w:rtl w:val="0"/>
              </w:rPr>
              <w:t xml:space="preserve">-0.21073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C">
            <w:pPr>
              <w:rPr/>
            </w:pPr>
            <w:r w:rsidDel="00000000" w:rsidR="00000000" w:rsidRPr="00000000">
              <w:rPr>
                <w:rtl w:val="0"/>
              </w:rPr>
              <w:t xml:space="preserve">-0.16932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D">
            <w:pPr>
              <w:rPr/>
            </w:pPr>
            <w:r w:rsidDel="00000000" w:rsidR="00000000" w:rsidRPr="00000000">
              <w:rPr>
                <w:rtl w:val="0"/>
              </w:rPr>
              <w:t xml:space="preserve">-0.08052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E">
            <w:pPr>
              <w:rPr/>
            </w:pPr>
            <w:r w:rsidDel="00000000" w:rsidR="00000000" w:rsidRPr="00000000">
              <w:rPr>
                <w:rtl w:val="0"/>
              </w:rPr>
              <w:t xml:space="preserve">-0.30199</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F">
            <w:pPr>
              <w:rPr/>
            </w:pPr>
            <w:r w:rsidDel="00000000" w:rsidR="00000000" w:rsidRPr="00000000">
              <w:rPr>
                <w:rtl w:val="0"/>
              </w:rPr>
              <w:t xml:space="preserve">West 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0">
            <w:pPr>
              <w:rPr/>
            </w:pPr>
            <w:r w:rsidDel="00000000" w:rsidR="00000000" w:rsidRPr="00000000">
              <w:rPr>
                <w:rtl w:val="0"/>
              </w:rPr>
              <w:t xml:space="preserve">-0.64807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1">
            <w:pPr>
              <w:rPr/>
            </w:pPr>
            <w:r w:rsidDel="00000000" w:rsidR="00000000" w:rsidRPr="00000000">
              <w:rPr>
                <w:rtl w:val="0"/>
              </w:rPr>
              <w:t xml:space="preserve">0.153807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2">
            <w:pPr>
              <w:rPr/>
            </w:pPr>
            <w:r w:rsidDel="00000000" w:rsidR="00000000" w:rsidRPr="00000000">
              <w:rPr>
                <w:rtl w:val="0"/>
              </w:rPr>
              <w:t xml:space="preserve">-0.39587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3">
            <w:pPr>
              <w:rPr/>
            </w:pPr>
            <w:r w:rsidDel="00000000" w:rsidR="00000000" w:rsidRPr="00000000">
              <w:rPr>
                <w:rtl w:val="0"/>
              </w:rPr>
              <w:t xml:space="preserve">-0.18118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4">
            <w:pPr>
              <w:rPr/>
            </w:pPr>
            <w:r w:rsidDel="00000000" w:rsidR="00000000" w:rsidRPr="00000000">
              <w:rPr>
                <w:rtl w:val="0"/>
              </w:rPr>
              <w:t xml:space="preserve">Arkansas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5">
            <w:pPr>
              <w:rPr/>
            </w:pPr>
            <w:r w:rsidDel="00000000" w:rsidR="00000000" w:rsidRPr="00000000">
              <w:rPr>
                <w:rtl w:val="0"/>
              </w:rPr>
              <w:t xml:space="preserve">-0.55677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6">
            <w:pPr>
              <w:rPr/>
            </w:pPr>
            <w:r w:rsidDel="00000000" w:rsidR="00000000" w:rsidRPr="00000000">
              <w:rPr>
                <w:rtl w:val="0"/>
              </w:rPr>
              <w:t xml:space="preserve">0.216794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7">
            <w:pPr>
              <w:rPr/>
            </w:pPr>
            <w:r w:rsidDel="00000000" w:rsidR="00000000" w:rsidRPr="00000000">
              <w:rPr>
                <w:rtl w:val="0"/>
              </w:rPr>
              <w:t xml:space="preserve">-0.77434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8">
            <w:pPr>
              <w:rPr/>
            </w:pPr>
            <w:r w:rsidDel="00000000" w:rsidR="00000000" w:rsidRPr="00000000">
              <w:rPr>
                <w:rtl w:val="0"/>
              </w:rPr>
              <w:t xml:space="preserve">-0.15796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9">
            <w:pPr>
              <w:rPr/>
            </w:pPr>
            <w:r w:rsidDel="00000000" w:rsidR="00000000" w:rsidRPr="00000000">
              <w:rPr>
                <w:rtl w:val="0"/>
              </w:rPr>
              <w:t xml:space="preserve">Virginia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A">
            <w:pPr>
              <w:rPr/>
            </w:pPr>
            <w:r w:rsidDel="00000000" w:rsidR="00000000" w:rsidRPr="00000000">
              <w:rPr>
                <w:rtl w:val="0"/>
              </w:rPr>
              <w:t xml:space="preserve">-0.1257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B">
            <w:pPr>
              <w:rPr/>
            </w:pPr>
            <w:r w:rsidDel="00000000" w:rsidR="00000000" w:rsidRPr="00000000">
              <w:rPr>
                <w:rtl w:val="0"/>
              </w:rPr>
              <w:t xml:space="preserve">-0.81677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C">
            <w:pPr>
              <w:rPr/>
            </w:pPr>
            <w:r w:rsidDel="00000000" w:rsidR="00000000" w:rsidRPr="00000000">
              <w:rPr>
                <w:rtl w:val="0"/>
              </w:rPr>
              <w:t xml:space="preserve">1.502669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D">
            <w:pPr>
              <w:rPr/>
            </w:pPr>
            <w:r w:rsidDel="00000000" w:rsidR="00000000" w:rsidRPr="00000000">
              <w:rPr>
                <w:rtl w:val="0"/>
              </w:rPr>
              <w:t xml:space="preserve">-0.11917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E">
            <w:pPr>
              <w:rPr/>
            </w:pPr>
            <w:r w:rsidDel="00000000" w:rsidR="00000000" w:rsidRPr="00000000">
              <w:rPr>
                <w:rtl w:val="0"/>
              </w:rPr>
              <w:t xml:space="preserve">Louisiana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1F">
            <w:pPr>
              <w:rPr/>
            </w:pPr>
            <w:r w:rsidDel="00000000" w:rsidR="00000000" w:rsidRPr="00000000">
              <w:rPr>
                <w:rtl w:val="0"/>
              </w:rPr>
              <w:t xml:space="preserve">0.485455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0">
            <w:pPr>
              <w:rPr/>
            </w:pPr>
            <w:r w:rsidDel="00000000" w:rsidR="00000000" w:rsidRPr="00000000">
              <w:rPr>
                <w:rtl w:val="0"/>
              </w:rPr>
              <w:t xml:space="preserve">-0.71567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1">
            <w:pPr>
              <w:rPr/>
            </w:pPr>
            <w:r w:rsidDel="00000000" w:rsidR="00000000" w:rsidRPr="00000000">
              <w:rPr>
                <w:rtl w:val="0"/>
              </w:rPr>
              <w:t xml:space="preserve">0.909022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2">
            <w:pPr>
              <w:rPr/>
            </w:pPr>
            <w:r w:rsidDel="00000000" w:rsidR="00000000" w:rsidRPr="00000000">
              <w:rPr>
                <w:rtl w:val="0"/>
              </w:rPr>
              <w:t xml:space="preserve">-0.08173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3">
            <w:pPr>
              <w:rPr/>
            </w:pPr>
            <w:r w:rsidDel="00000000" w:rsidR="00000000" w:rsidRPr="00000000">
              <w:rPr>
                <w:rtl w:val="0"/>
              </w:rPr>
              <w:t xml:space="preserve">Nebraska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4">
            <w:pPr>
              <w:rPr/>
            </w:pPr>
            <w:r w:rsidDel="00000000" w:rsidR="00000000" w:rsidRPr="00000000">
              <w:rPr>
                <w:rtl w:val="0"/>
              </w:rPr>
              <w:t xml:space="preserve">-0.45539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5">
            <w:pPr>
              <w:rPr/>
            </w:pPr>
            <w:r w:rsidDel="00000000" w:rsidR="00000000" w:rsidRPr="00000000">
              <w:rPr>
                <w:rtl w:val="0"/>
              </w:rPr>
              <w:t xml:space="preserve">0.133754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6">
            <w:pPr>
              <w:rPr/>
            </w:pPr>
            <w:r w:rsidDel="00000000" w:rsidR="00000000" w:rsidRPr="00000000">
              <w:rPr>
                <w:rtl w:val="0"/>
              </w:rPr>
              <w:t xml:space="preserve">0.513582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7">
            <w:pPr>
              <w:rPr/>
            </w:pPr>
            <w:r w:rsidDel="00000000" w:rsidR="00000000" w:rsidRPr="00000000">
              <w:rPr>
                <w:rtl w:val="0"/>
              </w:rPr>
              <w:t xml:space="preserve">-0.07613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8">
            <w:pPr>
              <w:rPr/>
            </w:pPr>
            <w:r w:rsidDel="00000000" w:rsidR="00000000" w:rsidRPr="00000000">
              <w:rPr>
                <w:rtl w:val="0"/>
              </w:rPr>
              <w:t xml:space="preserve">Alaska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9">
            <w:pPr>
              <w:rPr/>
            </w:pPr>
            <w:r w:rsidDel="00000000" w:rsidR="00000000" w:rsidRPr="00000000">
              <w:rPr>
                <w:rtl w:val="0"/>
              </w:rPr>
              <w:t xml:space="preserve">-0.32851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A">
            <w:pPr>
              <w:rPr/>
            </w:pPr>
            <w:r w:rsidDel="00000000" w:rsidR="00000000" w:rsidRPr="00000000">
              <w:rPr>
                <w:rtl w:val="0"/>
              </w:rPr>
              <w:t xml:space="preserve">-0.22126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B">
            <w:pPr>
              <w:rPr/>
            </w:pPr>
            <w:r w:rsidDel="00000000" w:rsidR="00000000" w:rsidRPr="00000000">
              <w:rPr>
                <w:rtl w:val="0"/>
              </w:rPr>
              <w:t xml:space="preserve">8.39E-05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C">
            <w:pPr>
              <w:rPr/>
            </w:pPr>
            <w:r w:rsidDel="00000000" w:rsidR="00000000" w:rsidRPr="00000000">
              <w:rPr>
                <w:rtl w:val="0"/>
              </w:rPr>
              <w:t xml:space="preserve">-0.05104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D">
            <w:pPr>
              <w:rPr/>
            </w:pPr>
            <w:r w:rsidDel="00000000" w:rsidR="00000000" w:rsidRPr="00000000">
              <w:rPr>
                <w:rtl w:val="0"/>
              </w:rPr>
              <w:t xml:space="preserve">Idaho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E">
            <w:pPr>
              <w:rPr/>
            </w:pPr>
            <w:r w:rsidDel="00000000" w:rsidR="00000000" w:rsidRPr="00000000">
              <w:rPr>
                <w:rtl w:val="0"/>
              </w:rPr>
              <w:t xml:space="preserve">0.969193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2F">
            <w:pPr>
              <w:rPr/>
            </w:pPr>
            <w:r w:rsidDel="00000000" w:rsidR="00000000" w:rsidRPr="00000000">
              <w:rPr>
                <w:rtl w:val="0"/>
              </w:rPr>
              <w:t xml:space="preserve">-1.55444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0">
            <w:pPr>
              <w:rPr/>
            </w:pPr>
            <w:r w:rsidDel="00000000" w:rsidR="00000000" w:rsidRPr="00000000">
              <w:rPr>
                <w:rtl w:val="0"/>
              </w:rPr>
              <w:t xml:space="preserve">-0.09998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1">
            <w:pPr>
              <w:rPr/>
            </w:pPr>
            <w:r w:rsidDel="00000000" w:rsidR="00000000" w:rsidRPr="00000000">
              <w:rPr>
                <w:rtl w:val="0"/>
              </w:rPr>
              <w:t xml:space="preserve">-0.03341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2">
            <w:pPr>
              <w:rPr/>
            </w:pPr>
            <w:r w:rsidDel="00000000" w:rsidR="00000000" w:rsidRPr="00000000">
              <w:rPr>
                <w:rtl w:val="0"/>
              </w:rPr>
              <w:t xml:space="preserve">Florida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3">
            <w:pPr>
              <w:rPr/>
            </w:pPr>
            <w:r w:rsidDel="00000000" w:rsidR="00000000" w:rsidRPr="00000000">
              <w:rPr>
                <w:rtl w:val="0"/>
              </w:rPr>
              <w:t xml:space="preserve">0.37951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4">
            <w:pPr>
              <w:rPr/>
            </w:pPr>
            <w:r w:rsidDel="00000000" w:rsidR="00000000" w:rsidRPr="00000000">
              <w:rPr>
                <w:rtl w:val="0"/>
              </w:rPr>
              <w:t xml:space="preserve">0.014894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5">
            <w:pPr>
              <w:rPr/>
            </w:pPr>
            <w:r w:rsidDel="00000000" w:rsidR="00000000" w:rsidRPr="00000000">
              <w:rPr>
                <w:rtl w:val="0"/>
              </w:rPr>
              <w:t xml:space="preserve">-0.66582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6">
            <w:pPr>
              <w:rPr/>
            </w:pPr>
            <w:r w:rsidDel="00000000" w:rsidR="00000000" w:rsidRPr="00000000">
              <w:rPr>
                <w:rtl w:val="0"/>
              </w:rPr>
              <w:t xml:space="preserve">0.046743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7">
            <w:pPr>
              <w:rPr/>
            </w:pPr>
            <w:r w:rsidDel="00000000" w:rsidR="00000000" w:rsidRPr="00000000">
              <w:rPr>
                <w:rtl w:val="0"/>
              </w:rPr>
              <w:t xml:space="preserve">Iowa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8">
            <w:pPr>
              <w:rPr/>
            </w:pPr>
            <w:r w:rsidDel="00000000" w:rsidR="00000000" w:rsidRPr="00000000">
              <w:rPr>
                <w:rtl w:val="0"/>
              </w:rPr>
              <w:t xml:space="preserve">-0.56118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9">
            <w:pPr>
              <w:rPr/>
            </w:pPr>
            <w:r w:rsidDel="00000000" w:rsidR="00000000" w:rsidRPr="00000000">
              <w:rPr>
                <w:rtl w:val="0"/>
              </w:rPr>
              <w:t xml:space="preserve">0.601546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A">
            <w:pPr>
              <w:rPr/>
            </w:pPr>
            <w:r w:rsidDel="00000000" w:rsidR="00000000" w:rsidRPr="00000000">
              <w:rPr>
                <w:rtl w:val="0"/>
              </w:rPr>
              <w:t xml:space="preserve">-0.40541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B">
            <w:pPr>
              <w:rPr/>
            </w:pPr>
            <w:r w:rsidDel="00000000" w:rsidR="00000000" w:rsidRPr="00000000">
              <w:rPr>
                <w:rtl w:val="0"/>
              </w:rPr>
              <w:t xml:space="preserve">0.066003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C">
            <w:pPr>
              <w:rPr/>
            </w:pPr>
            <w:r w:rsidDel="00000000" w:rsidR="00000000" w:rsidRPr="00000000">
              <w:rPr>
                <w:rtl w:val="0"/>
              </w:rPr>
              <w:t xml:space="preserve">Georgia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D">
            <w:pPr>
              <w:rPr/>
            </w:pPr>
            <w:r w:rsidDel="00000000" w:rsidR="00000000" w:rsidRPr="00000000">
              <w:rPr>
                <w:rtl w:val="0"/>
              </w:rPr>
              <w:t xml:space="preserve">0.766056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E">
            <w:pPr>
              <w:rPr/>
            </w:pPr>
            <w:r w:rsidDel="00000000" w:rsidR="00000000" w:rsidRPr="00000000">
              <w:rPr>
                <w:rtl w:val="0"/>
              </w:rPr>
              <w:t xml:space="preserve">-0.56683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F">
            <w:pPr>
              <w:rPr/>
            </w:pPr>
            <w:r w:rsidDel="00000000" w:rsidR="00000000" w:rsidRPr="00000000">
              <w:rPr>
                <w:rtl w:val="0"/>
              </w:rPr>
              <w:t xml:space="preserve">0.801484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0">
            <w:pPr>
              <w:rPr/>
            </w:pPr>
            <w:r w:rsidDel="00000000" w:rsidR="00000000" w:rsidRPr="00000000">
              <w:rPr>
                <w:rtl w:val="0"/>
              </w:rPr>
              <w:t xml:space="preserve">0.093638</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1">
            <w:pPr>
              <w:rPr/>
            </w:pPr>
            <w:r w:rsidDel="00000000" w:rsidR="00000000" w:rsidRPr="00000000">
              <w:rPr>
                <w:rtl w:val="0"/>
              </w:rPr>
              <w:t xml:space="preserve">Tennessee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2">
            <w:pPr>
              <w:rPr/>
            </w:pPr>
            <w:r w:rsidDel="00000000" w:rsidR="00000000" w:rsidRPr="00000000">
              <w:rPr>
                <w:rtl w:val="0"/>
              </w:rPr>
              <w:t xml:space="preserve">0.192873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3">
            <w:pPr>
              <w:rPr/>
            </w:pPr>
            <w:r w:rsidDel="00000000" w:rsidR="00000000" w:rsidRPr="00000000">
              <w:rPr>
                <w:rtl w:val="0"/>
              </w:rPr>
              <w:t xml:space="preserve">0.371471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4">
            <w:pPr>
              <w:rPr/>
            </w:pPr>
            <w:r w:rsidDel="00000000" w:rsidR="00000000" w:rsidRPr="00000000">
              <w:rPr>
                <w:rtl w:val="0"/>
              </w:rPr>
              <w:t xml:space="preserve">-1.09192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5">
            <w:pPr>
              <w:rPr/>
            </w:pPr>
            <w:r w:rsidDel="00000000" w:rsidR="00000000" w:rsidRPr="00000000">
              <w:rPr>
                <w:rtl w:val="0"/>
              </w:rPr>
              <w:t xml:space="preserve">0.108254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6">
            <w:pPr>
              <w:rPr/>
            </w:pPr>
            <w:r w:rsidDel="00000000" w:rsidR="00000000" w:rsidRPr="00000000">
              <w:rPr>
                <w:rtl w:val="0"/>
              </w:rPr>
              <w:t xml:space="preserve">Kansas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7">
            <w:pPr>
              <w:rPr/>
            </w:pPr>
            <w:r w:rsidDel="00000000" w:rsidR="00000000" w:rsidRPr="00000000">
              <w:rPr>
                <w:rtl w:val="0"/>
              </w:rPr>
              <w:t xml:space="preserve">0.296889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8">
            <w:pPr>
              <w:rPr/>
            </w:pPr>
            <w:r w:rsidDel="00000000" w:rsidR="00000000" w:rsidRPr="00000000">
              <w:rPr>
                <w:rtl w:val="0"/>
              </w:rPr>
              <w:t xml:space="preserve">0.259076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9">
            <w:pPr>
              <w:rPr/>
            </w:pPr>
            <w:r w:rsidDel="00000000" w:rsidR="00000000" w:rsidRPr="00000000">
              <w:rPr>
                <w:rtl w:val="0"/>
              </w:rPr>
              <w:t xml:space="preserve">0.62589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A">
            <w:pPr>
              <w:rPr/>
            </w:pPr>
            <w:r w:rsidDel="00000000" w:rsidR="00000000" w:rsidRPr="00000000">
              <w:rPr>
                <w:rtl w:val="0"/>
              </w:rPr>
              <w:t xml:space="preserve">0.205411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B">
            <w:pPr>
              <w:rPr/>
            </w:pPr>
            <w:r w:rsidDel="00000000" w:rsidR="00000000" w:rsidRPr="00000000">
              <w:rPr>
                <w:rtl w:val="0"/>
              </w:rPr>
              <w:t xml:space="preserve">Oklahoma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C">
            <w:pPr>
              <w:rPr/>
            </w:pPr>
            <w:r w:rsidDel="00000000" w:rsidR="00000000" w:rsidRPr="00000000">
              <w:rPr>
                <w:rtl w:val="0"/>
              </w:rPr>
              <w:t xml:space="preserve">0.224591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D">
            <w:pPr>
              <w:rPr/>
            </w:pPr>
            <w:r w:rsidDel="00000000" w:rsidR="00000000" w:rsidRPr="00000000">
              <w:rPr>
                <w:rtl w:val="0"/>
              </w:rPr>
              <w:t xml:space="preserve">0.14621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E">
            <w:pPr>
              <w:rPr/>
            </w:pPr>
            <w:r w:rsidDel="00000000" w:rsidR="00000000" w:rsidRPr="00000000">
              <w:rPr>
                <w:rtl w:val="0"/>
              </w:rPr>
              <w:t xml:space="preserve">0.970014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F">
            <w:pPr>
              <w:rPr/>
            </w:pPr>
            <w:r w:rsidDel="00000000" w:rsidR="00000000" w:rsidRPr="00000000">
              <w:rPr>
                <w:rtl w:val="0"/>
              </w:rPr>
              <w:t xml:space="preserve">0.257371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0">
            <w:pPr>
              <w:rPr/>
            </w:pPr>
            <w:r w:rsidDel="00000000" w:rsidR="00000000" w:rsidRPr="00000000">
              <w:rPr>
                <w:rtl w:val="0"/>
              </w:rPr>
              <w:t xml:space="preserve">Hawaii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1">
            <w:pPr>
              <w:rPr/>
            </w:pPr>
            <w:r w:rsidDel="00000000" w:rsidR="00000000" w:rsidRPr="00000000">
              <w:rPr>
                <w:rtl w:val="0"/>
              </w:rPr>
              <w:t xml:space="preserve">-0.08597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2">
            <w:pPr>
              <w:rPr/>
            </w:pPr>
            <w:r w:rsidDel="00000000" w:rsidR="00000000" w:rsidRPr="00000000">
              <w:rPr>
                <w:rtl w:val="0"/>
              </w:rPr>
              <w:t xml:space="preserve">0.782351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3">
            <w:pPr>
              <w:rPr/>
            </w:pPr>
            <w:r w:rsidDel="00000000" w:rsidR="00000000" w:rsidRPr="00000000">
              <w:rPr>
                <w:rtl w:val="0"/>
              </w:rPr>
              <w:t xml:space="preserve">-1.32264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4">
            <w:pPr>
              <w:rPr/>
            </w:pPr>
            <w:r w:rsidDel="00000000" w:rsidR="00000000" w:rsidRPr="00000000">
              <w:rPr>
                <w:rtl w:val="0"/>
              </w:rPr>
              <w:t xml:space="preserve">0.277147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5">
            <w:pPr>
              <w:rPr/>
            </w:pPr>
            <w:r w:rsidDel="00000000" w:rsidR="00000000" w:rsidRPr="00000000">
              <w:rPr>
                <w:rtl w:val="0"/>
              </w:rPr>
              <w:t xml:space="preserve">Missouri</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6">
            <w:pPr>
              <w:rPr/>
            </w:pPr>
            <w:r w:rsidDel="00000000" w:rsidR="00000000" w:rsidRPr="00000000">
              <w:rPr>
                <w:rtl w:val="0"/>
              </w:rPr>
              <w:t xml:space="preserve">0.006862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7">
            <w:pPr>
              <w:rPr/>
            </w:pPr>
            <w:r w:rsidDel="00000000" w:rsidR="00000000" w:rsidRPr="00000000">
              <w:rPr>
                <w:rtl w:val="0"/>
              </w:rPr>
              <w:t xml:space="preserve">0.653453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8">
            <w:pPr>
              <w:rPr/>
            </w:pPr>
            <w:r w:rsidDel="00000000" w:rsidR="00000000" w:rsidRPr="00000000">
              <w:rPr>
                <w:rtl w:val="0"/>
              </w:rPr>
              <w:t xml:space="preserve">-0.33786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9">
            <w:pPr>
              <w:rPr/>
            </w:pPr>
            <w:r w:rsidDel="00000000" w:rsidR="00000000" w:rsidRPr="00000000">
              <w:rPr>
                <w:rtl w:val="0"/>
              </w:rPr>
              <w:t xml:space="preserve">0.284826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A">
            <w:pPr>
              <w:rPr/>
            </w:pPr>
            <w:r w:rsidDel="00000000" w:rsidR="00000000" w:rsidRPr="00000000">
              <w:rPr>
                <w:rtl w:val="0"/>
              </w:rPr>
              <w:t xml:space="preserve">Ohio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B">
            <w:pPr>
              <w:rPr/>
            </w:pPr>
            <w:r w:rsidDel="00000000" w:rsidR="00000000" w:rsidRPr="00000000">
              <w:rPr>
                <w:rtl w:val="0"/>
              </w:rPr>
              <w:t xml:space="preserve">-0.41417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C">
            <w:pPr>
              <w:rPr/>
            </w:pPr>
            <w:r w:rsidDel="00000000" w:rsidR="00000000" w:rsidRPr="00000000">
              <w:rPr>
                <w:rtl w:val="0"/>
              </w:rPr>
              <w:t xml:space="preserve">0.828359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D">
            <w:pPr>
              <w:rPr/>
            </w:pPr>
            <w:r w:rsidDel="00000000" w:rsidR="00000000" w:rsidRPr="00000000">
              <w:rPr>
                <w:rtl w:val="0"/>
              </w:rPr>
              <w:t xml:space="preserve">0.271995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E">
            <w:pPr>
              <w:rPr/>
            </w:pPr>
            <w:r w:rsidDel="00000000" w:rsidR="00000000" w:rsidRPr="00000000">
              <w:rPr>
                <w:rtl w:val="0"/>
              </w:rPr>
              <w:t xml:space="preserve">0.295055</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F">
            <w:pPr>
              <w:rPr/>
            </w:pPr>
            <w:r w:rsidDel="00000000" w:rsidR="00000000" w:rsidRPr="00000000">
              <w:rPr>
                <w:rtl w:val="0"/>
              </w:rPr>
              <w:t xml:space="preserve">Connecticut</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0">
            <w:pPr>
              <w:rPr/>
            </w:pPr>
            <w:r w:rsidDel="00000000" w:rsidR="00000000" w:rsidRPr="00000000">
              <w:rPr>
                <w:rtl w:val="0"/>
              </w:rPr>
              <w:t xml:space="preserve">-1.11604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1">
            <w:pPr>
              <w:rPr/>
            </w:pPr>
            <w:r w:rsidDel="00000000" w:rsidR="00000000" w:rsidRPr="00000000">
              <w:rPr>
                <w:rtl w:val="0"/>
              </w:rPr>
              <w:t xml:space="preserve">0.773687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2">
            <w:pPr>
              <w:rPr/>
            </w:pPr>
            <w:r w:rsidDel="00000000" w:rsidR="00000000" w:rsidRPr="00000000">
              <w:rPr>
                <w:rtl w:val="0"/>
              </w:rPr>
              <w:t xml:space="preserve">0.188596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3">
            <w:pPr>
              <w:rPr/>
            </w:pPr>
            <w:r w:rsidDel="00000000" w:rsidR="00000000" w:rsidRPr="00000000">
              <w:rPr>
                <w:rtl w:val="0"/>
              </w:rPr>
              <w:t xml:space="preserve">0.299637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4">
            <w:pPr>
              <w:rPr/>
            </w:pPr>
            <w:r w:rsidDel="00000000" w:rsidR="00000000" w:rsidRPr="00000000">
              <w:rPr>
                <w:rtl w:val="0"/>
              </w:rPr>
              <w:t xml:space="preserve">Oregon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5">
            <w:pPr>
              <w:rPr/>
            </w:pPr>
            <w:r w:rsidDel="00000000" w:rsidR="00000000" w:rsidRPr="00000000">
              <w:rPr>
                <w:rtl w:val="0"/>
              </w:rPr>
              <w:t xml:space="preserve">0.24716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6">
            <w:pPr>
              <w:rPr/>
            </w:pPr>
            <w:r w:rsidDel="00000000" w:rsidR="00000000" w:rsidRPr="00000000">
              <w:rPr>
                <w:rtl w:val="0"/>
              </w:rPr>
              <w:t xml:space="preserve">0.399827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7">
            <w:pPr>
              <w:rPr/>
            </w:pPr>
            <w:r w:rsidDel="00000000" w:rsidR="00000000" w:rsidRPr="00000000">
              <w:rPr>
                <w:rtl w:val="0"/>
              </w:rPr>
              <w:t xml:space="preserve">0.878053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8">
            <w:pPr>
              <w:rPr/>
            </w:pPr>
            <w:r w:rsidDel="00000000" w:rsidR="00000000" w:rsidRPr="00000000">
              <w:rPr>
                <w:rtl w:val="0"/>
              </w:rPr>
              <w:t xml:space="preserve">0.318466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9">
            <w:pPr>
              <w:rPr/>
            </w:pPr>
            <w:r w:rsidDel="00000000" w:rsidR="00000000" w:rsidRPr="00000000">
              <w:rPr>
                <w:rtl w:val="0"/>
              </w:rPr>
              <w:t xml:space="preserve">New Mexico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A">
            <w:pPr>
              <w:rPr/>
            </w:pPr>
            <w:r w:rsidDel="00000000" w:rsidR="00000000" w:rsidRPr="00000000">
              <w:rPr>
                <w:rtl w:val="0"/>
              </w:rPr>
              <w:t xml:space="preserve">0.506328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B">
            <w:pPr>
              <w:rPr/>
            </w:pPr>
            <w:r w:rsidDel="00000000" w:rsidR="00000000" w:rsidRPr="00000000">
              <w:rPr>
                <w:rtl w:val="0"/>
              </w:rPr>
              <w:t xml:space="preserve">0.051915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C">
            <w:pPr>
              <w:rPr/>
            </w:pPr>
            <w:r w:rsidDel="00000000" w:rsidR="00000000" w:rsidRPr="00000000">
              <w:rPr>
                <w:rtl w:val="0"/>
              </w:rPr>
              <w:t xml:space="preserve">0.697022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D">
            <w:pPr>
              <w:rPr/>
            </w:pPr>
            <w:r w:rsidDel="00000000" w:rsidR="00000000" w:rsidRPr="00000000">
              <w:rPr>
                <w:rtl w:val="0"/>
              </w:rPr>
              <w:t xml:space="preserve">0.345902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E">
            <w:pPr>
              <w:rPr/>
            </w:pPr>
            <w:r w:rsidDel="00000000" w:rsidR="00000000" w:rsidRPr="00000000">
              <w:rPr>
                <w:rtl w:val="0"/>
              </w:rPr>
              <w:t xml:space="preserve">Wisconsin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F">
            <w:pPr>
              <w:rPr/>
            </w:pPr>
            <w:r w:rsidDel="00000000" w:rsidR="00000000" w:rsidRPr="00000000">
              <w:rPr>
                <w:rtl w:val="0"/>
              </w:rPr>
              <w:t xml:space="preserve">0.473449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0">
            <w:pPr>
              <w:rPr/>
            </w:pPr>
            <w:r w:rsidDel="00000000" w:rsidR="00000000" w:rsidRPr="00000000">
              <w:rPr>
                <w:rtl w:val="0"/>
              </w:rPr>
              <w:t xml:space="preserve">0.268336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1">
            <w:pPr>
              <w:rPr/>
            </w:pPr>
            <w:r w:rsidDel="00000000" w:rsidR="00000000" w:rsidRPr="00000000">
              <w:rPr>
                <w:rtl w:val="0"/>
              </w:rPr>
              <w:t xml:space="preserve">1.212432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2">
            <w:pPr>
              <w:rPr/>
            </w:pPr>
            <w:r w:rsidDel="00000000" w:rsidR="00000000" w:rsidRPr="00000000">
              <w:rPr>
                <w:rtl w:val="0"/>
              </w:rPr>
              <w:t xml:space="preserve">0.348051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3">
            <w:pPr>
              <w:rPr/>
            </w:pPr>
            <w:r w:rsidDel="00000000" w:rsidR="00000000" w:rsidRPr="00000000">
              <w:rPr>
                <w:rtl w:val="0"/>
              </w:rPr>
              <w:t xml:space="preserve">New Jersey</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4">
            <w:pPr>
              <w:rPr/>
            </w:pPr>
            <w:r w:rsidDel="00000000" w:rsidR="00000000" w:rsidRPr="00000000">
              <w:rPr>
                <w:rtl w:val="0"/>
              </w:rPr>
              <w:t xml:space="preserve">0.562231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5">
            <w:pPr>
              <w:rPr/>
            </w:pPr>
            <w:r w:rsidDel="00000000" w:rsidR="00000000" w:rsidRPr="00000000">
              <w:rPr>
                <w:rtl w:val="0"/>
              </w:rPr>
              <w:t xml:space="preserve">0.390579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6">
            <w:pPr>
              <w:rPr/>
            </w:pPr>
            <w:r w:rsidDel="00000000" w:rsidR="00000000" w:rsidRPr="00000000">
              <w:rPr>
                <w:rtl w:val="0"/>
              </w:rPr>
              <w:t xml:space="preserve">-0.03163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7">
            <w:pPr>
              <w:rPr/>
            </w:pPr>
            <w:r w:rsidDel="00000000" w:rsidR="00000000" w:rsidRPr="00000000">
              <w:rPr>
                <w:rtl w:val="0"/>
              </w:rPr>
              <w:t xml:space="preserve">0.359603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8">
            <w:pPr>
              <w:rPr/>
            </w:pPr>
            <w:r w:rsidDel="00000000" w:rsidR="00000000" w:rsidRPr="00000000">
              <w:rPr>
                <w:rtl w:val="0"/>
              </w:rPr>
              <w:t xml:space="preserve">Utah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9">
            <w:pPr>
              <w:rPr/>
            </w:pPr>
            <w:r w:rsidDel="00000000" w:rsidR="00000000" w:rsidRPr="00000000">
              <w:rPr>
                <w:rtl w:val="0"/>
              </w:rPr>
              <w:t xml:space="preserve">0.981405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A">
            <w:pPr>
              <w:rPr/>
            </w:pPr>
            <w:r w:rsidDel="00000000" w:rsidR="00000000" w:rsidRPr="00000000">
              <w:rPr>
                <w:rtl w:val="0"/>
              </w:rPr>
              <w:t xml:space="preserve">-0.16344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B">
            <w:pPr>
              <w:rPr/>
            </w:pPr>
            <w:r w:rsidDel="00000000" w:rsidR="00000000" w:rsidRPr="00000000">
              <w:rPr>
                <w:rtl w:val="0"/>
              </w:rPr>
              <w:t xml:space="preserve">0.576879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C">
            <w:pPr>
              <w:rPr/>
            </w:pPr>
            <w:r w:rsidDel="00000000" w:rsidR="00000000" w:rsidRPr="00000000">
              <w:rPr>
                <w:rtl w:val="0"/>
              </w:rPr>
              <w:t xml:space="preserve">0.383884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D">
            <w:pPr>
              <w:rPr/>
            </w:pPr>
            <w:r w:rsidDel="00000000" w:rsidR="00000000" w:rsidRPr="00000000">
              <w:rPr>
                <w:rtl w:val="0"/>
              </w:rPr>
              <w:t xml:space="preserve">Indiana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E">
            <w:pPr>
              <w:rPr/>
            </w:pPr>
            <w:r w:rsidDel="00000000" w:rsidR="00000000" w:rsidRPr="00000000">
              <w:rPr>
                <w:rtl w:val="0"/>
              </w:rPr>
              <w:t xml:space="preserve">0.523508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F">
            <w:pPr>
              <w:rPr/>
            </w:pPr>
            <w:r w:rsidDel="00000000" w:rsidR="00000000" w:rsidRPr="00000000">
              <w:rPr>
                <w:rtl w:val="0"/>
              </w:rPr>
              <w:t xml:space="preserve">0.609199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0">
            <w:pPr>
              <w:rPr/>
            </w:pPr>
            <w:r w:rsidDel="00000000" w:rsidR="00000000" w:rsidRPr="00000000">
              <w:rPr>
                <w:rtl w:val="0"/>
              </w:rPr>
              <w:t xml:space="preserve">-0.38278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1">
            <w:pPr>
              <w:rPr/>
            </w:pPr>
            <w:r w:rsidDel="00000000" w:rsidR="00000000" w:rsidRPr="00000000">
              <w:rPr>
                <w:rtl w:val="0"/>
              </w:rPr>
              <w:t xml:space="preserve">0.402926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2">
            <w:pPr>
              <w:rPr/>
            </w:pPr>
            <w:r w:rsidDel="00000000" w:rsidR="00000000" w:rsidRPr="00000000">
              <w:rPr>
                <w:rtl w:val="0"/>
              </w:rPr>
              <w:t xml:space="preserve">Pennsylvania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3">
            <w:pPr>
              <w:rPr/>
            </w:pPr>
            <w:r w:rsidDel="00000000" w:rsidR="00000000" w:rsidRPr="00000000">
              <w:rPr>
                <w:rtl w:val="0"/>
              </w:rPr>
              <w:t xml:space="preserve">0.493083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4">
            <w:pPr>
              <w:rPr/>
            </w:pPr>
            <w:r w:rsidDel="00000000" w:rsidR="00000000" w:rsidRPr="00000000">
              <w:rPr>
                <w:rtl w:val="0"/>
              </w:rPr>
              <w:t xml:space="preserve">0.659598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5">
            <w:pPr>
              <w:rPr/>
            </w:pPr>
            <w:r w:rsidDel="00000000" w:rsidR="00000000" w:rsidRPr="00000000">
              <w:rPr>
                <w:rtl w:val="0"/>
              </w:rPr>
              <w:t xml:space="preserve">-0.75284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6">
            <w:pPr>
              <w:rPr/>
            </w:pPr>
            <w:r w:rsidDel="00000000" w:rsidR="00000000" w:rsidRPr="00000000">
              <w:rPr>
                <w:rtl w:val="0"/>
              </w:rPr>
              <w:t xml:space="preserve">0.405355</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7">
            <w:pPr>
              <w:rPr/>
            </w:pPr>
            <w:r w:rsidDel="00000000" w:rsidR="00000000" w:rsidRPr="00000000">
              <w:rPr>
                <w:rtl w:val="0"/>
              </w:rPr>
              <w:t xml:space="preserve">New York</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8">
            <w:pPr>
              <w:rPr/>
            </w:pPr>
            <w:r w:rsidDel="00000000" w:rsidR="00000000" w:rsidRPr="00000000">
              <w:rPr>
                <w:rtl w:val="0"/>
              </w:rPr>
              <w:t xml:space="preserve">-0.48787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9">
            <w:pPr>
              <w:rPr/>
            </w:pPr>
            <w:r w:rsidDel="00000000" w:rsidR="00000000" w:rsidRPr="00000000">
              <w:rPr>
                <w:rtl w:val="0"/>
              </w:rPr>
              <w:t xml:space="preserve">0.883648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A">
            <w:pPr>
              <w:rPr/>
            </w:pPr>
            <w:r w:rsidDel="00000000" w:rsidR="00000000" w:rsidRPr="00000000">
              <w:rPr>
                <w:rtl w:val="0"/>
              </w:rPr>
              <w:t xml:space="preserve">0.976651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B">
            <w:pPr>
              <w:rPr/>
            </w:pPr>
            <w:r w:rsidDel="00000000" w:rsidR="00000000" w:rsidRPr="00000000">
              <w:rPr>
                <w:rtl w:val="0"/>
              </w:rPr>
              <w:t xml:space="preserve">0.406129</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C">
            <w:pPr>
              <w:rPr/>
            </w:pPr>
            <w:r w:rsidDel="00000000" w:rsidR="00000000" w:rsidRPr="00000000">
              <w:rPr>
                <w:rtl w:val="0"/>
              </w:rPr>
              <w:t xml:space="preserve">Maine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D">
            <w:pPr>
              <w:rPr/>
            </w:pPr>
            <w:r w:rsidDel="00000000" w:rsidR="00000000" w:rsidRPr="00000000">
              <w:rPr>
                <w:rtl w:val="0"/>
              </w:rPr>
              <w:t xml:space="preserve">0.914522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E">
            <w:pPr>
              <w:rPr/>
            </w:pPr>
            <w:r w:rsidDel="00000000" w:rsidR="00000000" w:rsidRPr="00000000">
              <w:rPr>
                <w:rtl w:val="0"/>
              </w:rPr>
              <w:t xml:space="preserve">0.173637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F">
            <w:pPr>
              <w:rPr/>
            </w:pPr>
            <w:r w:rsidDel="00000000" w:rsidR="00000000" w:rsidRPr="00000000">
              <w:rPr>
                <w:rtl w:val="0"/>
              </w:rPr>
              <w:t xml:space="preserve">-0.09636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0">
            <w:pPr>
              <w:rPr/>
            </w:pPr>
            <w:r w:rsidDel="00000000" w:rsidR="00000000" w:rsidRPr="00000000">
              <w:rPr>
                <w:rtl w:val="0"/>
              </w:rPr>
              <w:t xml:space="preserve">0.406877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1">
            <w:pPr>
              <w:rPr/>
            </w:pPr>
            <w:r w:rsidDel="00000000" w:rsidR="00000000" w:rsidRPr="00000000">
              <w:rPr>
                <w:rtl w:val="0"/>
              </w:rPr>
              <w:t xml:space="preserve">North Carolina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2">
            <w:pPr>
              <w:rPr/>
            </w:pPr>
            <w:r w:rsidDel="00000000" w:rsidR="00000000" w:rsidRPr="00000000">
              <w:rPr>
                <w:rtl w:val="0"/>
              </w:rPr>
              <w:t xml:space="preserve">1.065257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3">
            <w:pPr>
              <w:rPr/>
            </w:pPr>
            <w:r w:rsidDel="00000000" w:rsidR="00000000" w:rsidRPr="00000000">
              <w:rPr>
                <w:rtl w:val="0"/>
              </w:rPr>
              <w:t xml:space="preserve">0.284861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4">
            <w:pPr>
              <w:rPr/>
            </w:pPr>
            <w:r w:rsidDel="00000000" w:rsidR="00000000" w:rsidRPr="00000000">
              <w:rPr>
                <w:rtl w:val="0"/>
              </w:rPr>
              <w:t xml:space="preserve">0.3629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5">
            <w:pPr>
              <w:rPr/>
            </w:pPr>
            <w:r w:rsidDel="00000000" w:rsidR="00000000" w:rsidRPr="00000000">
              <w:rPr>
                <w:rtl w:val="0"/>
              </w:rPr>
              <w:t xml:space="preserve">0.504546</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6">
            <w:pPr>
              <w:rPr/>
            </w:pPr>
            <w:r w:rsidDel="00000000" w:rsidR="00000000" w:rsidRPr="00000000">
              <w:rPr>
                <w:rtl w:val="0"/>
              </w:rPr>
              <w:t xml:space="preserve">Michigan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7">
            <w:pPr>
              <w:rPr/>
            </w:pPr>
            <w:r w:rsidDel="00000000" w:rsidR="00000000" w:rsidRPr="00000000">
              <w:rPr>
                <w:rtl w:val="0"/>
              </w:rPr>
              <w:t xml:space="preserve">0.566638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8">
            <w:pPr>
              <w:rPr/>
            </w:pPr>
            <w:r w:rsidDel="00000000" w:rsidR="00000000" w:rsidRPr="00000000">
              <w:rPr>
                <w:rtl w:val="0"/>
              </w:rPr>
              <w:t xml:space="preserve">0.667197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9">
            <w:pPr>
              <w:rPr/>
            </w:pPr>
            <w:r w:rsidDel="00000000" w:rsidR="00000000" w:rsidRPr="00000000">
              <w:rPr>
                <w:rtl w:val="0"/>
              </w:rPr>
              <w:t xml:space="preserve">0.950022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A">
            <w:pPr>
              <w:rPr/>
            </w:pPr>
            <w:r w:rsidDel="00000000" w:rsidR="00000000" w:rsidRPr="00000000">
              <w:rPr>
                <w:rtl w:val="0"/>
              </w:rPr>
              <w:t xml:space="preserve">0.507764</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B">
            <w:pPr>
              <w:rPr/>
            </w:pPr>
            <w:r w:rsidDel="00000000" w:rsidR="00000000" w:rsidRPr="00000000">
              <w:rPr>
                <w:rtl w:val="0"/>
              </w:rPr>
              <w:t xml:space="preserve">Massachusetts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C">
            <w:pPr>
              <w:rPr/>
            </w:pPr>
            <w:r w:rsidDel="00000000" w:rsidR="00000000" w:rsidRPr="00000000">
              <w:rPr>
                <w:rtl w:val="0"/>
              </w:rPr>
              <w:t xml:space="preserve">0.08494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D">
            <w:pPr>
              <w:rPr/>
            </w:pPr>
            <w:r w:rsidDel="00000000" w:rsidR="00000000" w:rsidRPr="00000000">
              <w:rPr>
                <w:rtl w:val="0"/>
              </w:rPr>
              <w:t xml:space="preserve">0.892974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E">
            <w:pPr>
              <w:rPr/>
            </w:pPr>
            <w:r w:rsidDel="00000000" w:rsidR="00000000" w:rsidRPr="00000000">
              <w:rPr>
                <w:rtl w:val="0"/>
              </w:rPr>
              <w:t xml:space="preserve">0.112335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9F">
            <w:pPr>
              <w:rPr/>
            </w:pPr>
            <w:r w:rsidDel="00000000" w:rsidR="00000000" w:rsidRPr="00000000">
              <w:rPr>
                <w:rtl w:val="0"/>
              </w:rPr>
              <w:t xml:space="preserve">0.513563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0">
            <w:pPr>
              <w:rPr/>
            </w:pPr>
            <w:r w:rsidDel="00000000" w:rsidR="00000000" w:rsidRPr="00000000">
              <w:rPr>
                <w:rtl w:val="0"/>
              </w:rPr>
              <w:t xml:space="preserve">Maryland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1">
            <w:pPr>
              <w:rPr/>
            </w:pPr>
            <w:r w:rsidDel="00000000" w:rsidR="00000000" w:rsidRPr="00000000">
              <w:rPr>
                <w:rtl w:val="0"/>
              </w:rPr>
              <w:t xml:space="preserve">1.162078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2">
            <w:pPr>
              <w:rPr/>
            </w:pPr>
            <w:r w:rsidDel="00000000" w:rsidR="00000000" w:rsidRPr="00000000">
              <w:rPr>
                <w:rtl w:val="0"/>
              </w:rPr>
              <w:t xml:space="preserve">0.231573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3">
            <w:pPr>
              <w:rPr/>
            </w:pPr>
            <w:r w:rsidDel="00000000" w:rsidR="00000000" w:rsidRPr="00000000">
              <w:rPr>
                <w:rtl w:val="0"/>
              </w:rPr>
              <w:t xml:space="preserve">1.145442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4">
            <w:pPr>
              <w:rPr/>
            </w:pPr>
            <w:r w:rsidDel="00000000" w:rsidR="00000000" w:rsidRPr="00000000">
              <w:rPr>
                <w:rtl w:val="0"/>
              </w:rPr>
              <w:t xml:space="preserve">0.625707</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5">
            <w:pPr>
              <w:rPr/>
            </w:pPr>
            <w:r w:rsidDel="00000000" w:rsidR="00000000" w:rsidRPr="00000000">
              <w:rPr>
                <w:rtl w:val="0"/>
              </w:rPr>
              <w:t xml:space="preserve">Arizona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6">
            <w:pPr>
              <w:rPr/>
            </w:pPr>
            <w:r w:rsidDel="00000000" w:rsidR="00000000" w:rsidRPr="00000000">
              <w:rPr>
                <w:rtl w:val="0"/>
              </w:rPr>
              <w:t xml:space="preserve">0.862624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7">
            <w:pPr>
              <w:rPr/>
            </w:pPr>
            <w:r w:rsidDel="00000000" w:rsidR="00000000" w:rsidRPr="00000000">
              <w:rPr>
                <w:rtl w:val="0"/>
              </w:rPr>
              <w:t xml:space="preserve">0.654128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8">
            <w:pPr>
              <w:rPr/>
            </w:pPr>
            <w:r w:rsidDel="00000000" w:rsidR="00000000" w:rsidRPr="00000000">
              <w:rPr>
                <w:rtl w:val="0"/>
              </w:rPr>
              <w:t xml:space="preserve">0.277233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9">
            <w:pPr>
              <w:rPr/>
            </w:pPr>
            <w:r w:rsidDel="00000000" w:rsidR="00000000" w:rsidRPr="00000000">
              <w:rPr>
                <w:rtl w:val="0"/>
              </w:rPr>
              <w:t xml:space="preserve">0.631053</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A">
            <w:pPr>
              <w:rPr/>
            </w:pPr>
            <w:r w:rsidDel="00000000" w:rsidR="00000000" w:rsidRPr="00000000">
              <w:rPr>
                <w:rtl w:val="0"/>
              </w:rPr>
              <w:t xml:space="preserve">Washington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B">
            <w:pPr>
              <w:rPr/>
            </w:pPr>
            <w:r w:rsidDel="00000000" w:rsidR="00000000" w:rsidRPr="00000000">
              <w:rPr>
                <w:rtl w:val="0"/>
              </w:rPr>
              <w:t xml:space="preserve">0.84201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C">
            <w:pPr>
              <w:rPr/>
            </w:pPr>
            <w:r w:rsidDel="00000000" w:rsidR="00000000" w:rsidRPr="00000000">
              <w:rPr>
                <w:rtl w:val="0"/>
              </w:rPr>
              <w:t xml:space="preserve">0.608061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D">
            <w:pPr>
              <w:rPr/>
            </w:pPr>
            <w:r w:rsidDel="00000000" w:rsidR="00000000" w:rsidRPr="00000000">
              <w:rPr>
                <w:rtl w:val="0"/>
              </w:rPr>
              <w:t xml:space="preserve">1.083485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E">
            <w:pPr>
              <w:rPr/>
            </w:pPr>
            <w:r w:rsidDel="00000000" w:rsidR="00000000" w:rsidRPr="00000000">
              <w:rPr>
                <w:rtl w:val="0"/>
              </w:rPr>
              <w:t xml:space="preserve">0.635</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AF">
            <w:pPr>
              <w:rPr/>
            </w:pPr>
            <w:r w:rsidDel="00000000" w:rsidR="00000000" w:rsidRPr="00000000">
              <w:rPr>
                <w:rtl w:val="0"/>
              </w:rPr>
              <w:t xml:space="preserve">Minnesota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0">
            <w:pPr>
              <w:rPr/>
            </w:pPr>
            <w:r w:rsidDel="00000000" w:rsidR="00000000" w:rsidRPr="00000000">
              <w:rPr>
                <w:rtl w:val="0"/>
              </w:rPr>
              <w:t xml:space="preserve">0.880089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1">
            <w:pPr>
              <w:rPr/>
            </w:pPr>
            <w:r w:rsidDel="00000000" w:rsidR="00000000" w:rsidRPr="00000000">
              <w:rPr>
                <w:rtl w:val="0"/>
              </w:rPr>
              <w:t xml:space="preserve">0.611243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2">
            <w:pPr>
              <w:rPr/>
            </w:pPr>
            <w:r w:rsidDel="00000000" w:rsidR="00000000" w:rsidRPr="00000000">
              <w:rPr>
                <w:rtl w:val="0"/>
              </w:rPr>
              <w:t xml:space="preserve">1.046012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3">
            <w:pPr>
              <w:rPr/>
            </w:pPr>
            <w:r w:rsidDel="00000000" w:rsidR="00000000" w:rsidRPr="00000000">
              <w:rPr>
                <w:rtl w:val="0"/>
              </w:rPr>
              <w:t xml:space="preserve">0.635239</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4">
            <w:pPr>
              <w:rPr/>
            </w:pPr>
            <w:r w:rsidDel="00000000" w:rsidR="00000000" w:rsidRPr="00000000">
              <w:rPr>
                <w:rtl w:val="0"/>
              </w:rPr>
              <w:t xml:space="preserve">Illinois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5">
            <w:pPr>
              <w:rPr/>
            </w:pPr>
            <w:r w:rsidDel="00000000" w:rsidR="00000000" w:rsidRPr="00000000">
              <w:rPr>
                <w:rtl w:val="0"/>
              </w:rPr>
              <w:t xml:space="preserve">0.786923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6">
            <w:pPr>
              <w:rPr/>
            </w:pPr>
            <w:r w:rsidDel="00000000" w:rsidR="00000000" w:rsidRPr="00000000">
              <w:rPr>
                <w:rtl w:val="0"/>
              </w:rPr>
              <w:t xml:space="preserve">0.889626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7">
            <w:pPr>
              <w:rPr/>
            </w:pPr>
            <w:r w:rsidDel="00000000" w:rsidR="00000000" w:rsidRPr="00000000">
              <w:rPr>
                <w:rtl w:val="0"/>
              </w:rPr>
              <w:t xml:space="preserve">0.016541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8">
            <w:pPr>
              <w:rPr/>
            </w:pPr>
            <w:r w:rsidDel="00000000" w:rsidR="00000000" w:rsidRPr="00000000">
              <w:rPr>
                <w:rtl w:val="0"/>
              </w:rPr>
              <w:t xml:space="preserve">0.665431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9">
            <w:pPr>
              <w:rPr/>
            </w:pPr>
            <w:r w:rsidDel="00000000" w:rsidR="00000000" w:rsidRPr="00000000">
              <w:rPr>
                <w:rtl w:val="0"/>
              </w:rPr>
              <w:t xml:space="preserve">Colorado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A">
            <w:pPr>
              <w:rPr/>
            </w:pPr>
            <w:r w:rsidDel="00000000" w:rsidR="00000000" w:rsidRPr="00000000">
              <w:rPr>
                <w:rtl w:val="0"/>
              </w:rPr>
              <w:t xml:space="preserve">1.183351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B">
            <w:pPr>
              <w:rPr/>
            </w:pPr>
            <w:r w:rsidDel="00000000" w:rsidR="00000000" w:rsidRPr="00000000">
              <w:rPr>
                <w:rtl w:val="0"/>
              </w:rPr>
              <w:t xml:space="preserve">0.626022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C">
            <w:pPr>
              <w:rPr/>
            </w:pPr>
            <w:r w:rsidDel="00000000" w:rsidR="00000000" w:rsidRPr="00000000">
              <w:rPr>
                <w:rtl w:val="0"/>
              </w:rPr>
              <w:t xml:space="preserve">0.059029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D">
            <w:pPr>
              <w:rPr/>
            </w:pPr>
            <w:r w:rsidDel="00000000" w:rsidR="00000000" w:rsidRPr="00000000">
              <w:rPr>
                <w:rtl w:val="0"/>
              </w:rPr>
              <w:t xml:space="preserve">0.734893</w:t>
            </w:r>
          </w:p>
        </w:tc>
      </w:tr>
      <w:tr>
        <w:trPr>
          <w:cantSplit w:val="0"/>
          <w:trHeight w:val="510"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E">
            <w:pPr>
              <w:rPr/>
            </w:pPr>
            <w:r w:rsidDel="00000000" w:rsidR="00000000" w:rsidRPr="00000000">
              <w:rPr>
                <w:rtl w:val="0"/>
              </w:rPr>
              <w:t xml:space="preserve">Kentucky</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F">
            <w:pPr>
              <w:rPr/>
            </w:pPr>
            <w:r w:rsidDel="00000000" w:rsidR="00000000" w:rsidRPr="00000000">
              <w:rPr>
                <w:rtl w:val="0"/>
              </w:rPr>
              <w:t xml:space="preserve">1.213866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0">
            <w:pPr>
              <w:rPr/>
            </w:pPr>
            <w:r w:rsidDel="00000000" w:rsidR="00000000" w:rsidRPr="00000000">
              <w:rPr>
                <w:rtl w:val="0"/>
              </w:rPr>
              <w:t xml:space="preserve">0.861473</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1">
            <w:pPr>
              <w:rPr/>
            </w:pPr>
            <w:r w:rsidDel="00000000" w:rsidR="00000000" w:rsidRPr="00000000">
              <w:rPr>
                <w:rtl w:val="0"/>
              </w:rPr>
              <w:t xml:space="preserve">-0.64434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2">
            <w:pPr>
              <w:rPr/>
            </w:pPr>
            <w:r w:rsidDel="00000000" w:rsidR="00000000" w:rsidRPr="00000000">
              <w:rPr>
                <w:rtl w:val="0"/>
              </w:rPr>
              <w:t xml:space="preserve">0.802665</w:t>
            </w:r>
          </w:p>
        </w:tc>
      </w:tr>
    </w:tbl>
    <w:p w:rsidR="00000000" w:rsidDel="00000000" w:rsidP="00000000" w:rsidRDefault="00000000" w:rsidRPr="00000000" w14:paraId="000006C3">
      <w:pPr>
        <w:rPr/>
      </w:pPr>
      <w:r w:rsidDel="00000000" w:rsidR="00000000" w:rsidRPr="00000000">
        <w:rPr>
          <w:rtl w:val="0"/>
        </w:rPr>
      </w:r>
    </w:p>
    <w:tbl>
      <w:tblPr>
        <w:tblStyle w:val="Table9"/>
        <w:tblW w:w="12135.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65"/>
        <w:gridCol w:w="780"/>
        <w:gridCol w:w="810"/>
        <w:gridCol w:w="750"/>
        <w:gridCol w:w="765"/>
        <w:gridCol w:w="765"/>
        <w:gridCol w:w="855"/>
        <w:gridCol w:w="945"/>
        <w:gridCol w:w="795"/>
        <w:gridCol w:w="795"/>
        <w:gridCol w:w="780"/>
        <w:gridCol w:w="855"/>
        <w:gridCol w:w="885"/>
        <w:tblGridChange w:id="0">
          <w:tblGrid>
            <w:gridCol w:w="1590"/>
            <w:gridCol w:w="765"/>
            <w:gridCol w:w="780"/>
            <w:gridCol w:w="810"/>
            <w:gridCol w:w="750"/>
            <w:gridCol w:w="765"/>
            <w:gridCol w:w="765"/>
            <w:gridCol w:w="855"/>
            <w:gridCol w:w="945"/>
            <w:gridCol w:w="795"/>
            <w:gridCol w:w="795"/>
            <w:gridCol w:w="780"/>
            <w:gridCol w:w="855"/>
            <w:gridCol w:w="885"/>
          </w:tblGrid>
        </w:tblGridChange>
      </w:tblGrid>
      <w:tr>
        <w:trPr>
          <w:cantSplit w:val="0"/>
          <w:trHeight w:val="285" w:hRule="atLeast"/>
          <w:tblHeader w:val="0"/>
        </w:trPr>
        <w:tc>
          <w:tcPr>
            <w:gridSpan w:val="14"/>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C4">
            <w:pPr>
              <w:spacing w:after="0" w:lineRule="auto"/>
              <w:jc w:val="center"/>
              <w:rPr>
                <w:b w:val="1"/>
              </w:rPr>
            </w:pPr>
            <w:r w:rsidDel="00000000" w:rsidR="00000000" w:rsidRPr="00000000">
              <w:rPr>
                <w:b w:val="1"/>
                <w:rtl w:val="0"/>
              </w:rPr>
              <w:t xml:space="preserve">Table A5 – AllFit results from nonprofit model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2">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3">
            <w:pPr>
              <w:spacing w:after="0" w:lineRule="auto"/>
              <w:rPr/>
            </w:pPr>
            <w:r w:rsidDel="00000000" w:rsidR="00000000" w:rsidRPr="00000000">
              <w:rPr>
                <w:rtl w:val="0"/>
              </w:rPr>
              <w:t xml:space="preserve">    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4">
            <w:pPr>
              <w:spacing w:after="0"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5">
            <w:pPr>
              <w:spacing w:after="0" w:lineRule="auto"/>
              <w:jc w:val="left"/>
              <w:rPr/>
            </w:pPr>
            <w:r w:rsidDel="00000000" w:rsidR="00000000" w:rsidRPr="00000000">
              <w:rPr>
                <w:rtl w:val="0"/>
              </w:rPr>
              <w:t xml:space="preserve">   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6">
            <w:pPr>
              <w:spacing w:after="0" w:lineRule="auto"/>
              <w:jc w:val="left"/>
              <w:rPr/>
            </w:pPr>
            <w:r w:rsidDel="00000000" w:rsidR="00000000" w:rsidRPr="00000000">
              <w:rPr>
                <w:rtl w:val="0"/>
              </w:rPr>
              <w:t xml:space="preserve">   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7">
            <w:pPr>
              <w:spacing w:after="0" w:lineRule="auto"/>
              <w:jc w:val="left"/>
              <w:rPr/>
            </w:pPr>
            <w:r w:rsidDel="00000000" w:rsidR="00000000" w:rsidRPr="00000000">
              <w:rPr>
                <w:rtl w:val="0"/>
              </w:rPr>
              <w:t xml:space="preserve">   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8">
            <w:pPr>
              <w:spacing w:after="0" w:lineRule="auto"/>
              <w:jc w:val="left"/>
              <w:rPr/>
            </w:pPr>
            <w:r w:rsidDel="00000000" w:rsidR="00000000" w:rsidRPr="00000000">
              <w:rPr>
                <w:rtl w:val="0"/>
              </w:rPr>
              <w:t xml:space="preserve">   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9">
            <w:pPr>
              <w:spacing w:after="0" w:lineRule="auto"/>
              <w:jc w:val="left"/>
              <w:rPr/>
            </w:pPr>
            <w:r w:rsidDel="00000000" w:rsidR="00000000" w:rsidRPr="00000000">
              <w:rPr>
                <w:rtl w:val="0"/>
              </w:rPr>
              <w:t xml:space="preserve">    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A">
            <w:pPr>
              <w:spacing w:after="0" w:lineRule="auto"/>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B">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C">
            <w:pPr>
              <w:spacing w:after="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D">
            <w:pPr>
              <w:spacing w:after="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E">
            <w:pPr>
              <w:spacing w:after="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F">
            <w:pPr>
              <w:spacing w:after="0" w:lineRule="auto"/>
              <w:jc w:val="center"/>
              <w:rPr/>
            </w:pPr>
            <w:r w:rsidDel="00000000" w:rsidR="00000000" w:rsidRPr="00000000">
              <w:rPr>
                <w:rtl w:val="0"/>
              </w:rPr>
              <w:t xml:space="preserve">14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0">
            <w:pPr>
              <w:spacing w:after="0" w:lineRule="auto"/>
              <w:rPr/>
            </w:pPr>
            <w:r w:rsidDel="00000000" w:rsidR="00000000" w:rsidRPr="00000000">
              <w:rPr>
                <w:rtl w:val="0"/>
              </w:rPr>
              <w:t xml:space="preserve">bobyqa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1">
            <w:pPr>
              <w:spacing w:after="0" w:lineRule="auto"/>
              <w:rPr/>
            </w:pPr>
            <w:r w:rsidDel="00000000" w:rsidR="00000000" w:rsidRPr="00000000">
              <w:rPr>
                <w:rtl w:val="0"/>
              </w:rPr>
              <w:t xml:space="preserve">4.547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2">
            <w:pPr>
              <w:spacing w:after="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3">
            <w:pPr>
              <w:spacing w:after="0" w:lineRule="auto"/>
              <w:rPr/>
            </w:pPr>
            <w:r w:rsidDel="00000000" w:rsidR="00000000" w:rsidRPr="00000000">
              <w:rPr>
                <w:rtl w:val="0"/>
              </w:rPr>
              <w:t xml:space="preserve">0.015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4">
            <w:pPr>
              <w:spacing w:after="0" w:lineRule="auto"/>
              <w:rPr/>
            </w:pPr>
            <w:r w:rsidDel="00000000" w:rsidR="00000000" w:rsidRPr="00000000">
              <w:rPr>
                <w:rtl w:val="0"/>
              </w:rPr>
              <w:t xml:space="preserve">0.004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5">
            <w:pPr>
              <w:spacing w:after="0" w:lineRule="auto"/>
              <w:rPr/>
            </w:pPr>
            <w:r w:rsidDel="00000000" w:rsidR="00000000" w:rsidRPr="00000000">
              <w:rPr>
                <w:rtl w:val="0"/>
              </w:rPr>
              <w:t xml:space="preserve">0.505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6">
            <w:pPr>
              <w:spacing w:after="0" w:lineRule="auto"/>
              <w:rPr/>
            </w:pPr>
            <w:r w:rsidDel="00000000" w:rsidR="00000000" w:rsidRPr="00000000">
              <w:rPr>
                <w:rtl w:val="0"/>
              </w:rPr>
              <w:t xml:space="preserve">0.023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7">
            <w:pPr>
              <w:spacing w:after="0" w:lineRule="auto"/>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8">
            <w:pPr>
              <w:spacing w:after="0" w:lineRule="auto"/>
              <w:rPr/>
            </w:pPr>
            <w:r w:rsidDel="00000000" w:rsidR="00000000" w:rsidRPr="00000000">
              <w:rPr>
                <w:rtl w:val="0"/>
              </w:rPr>
              <w:t xml:space="preserve">-0.065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9">
            <w:pPr>
              <w:spacing w:after="0" w:lineRule="auto"/>
              <w:rPr/>
            </w:pPr>
            <w:r w:rsidDel="00000000" w:rsidR="00000000" w:rsidRPr="00000000">
              <w:rPr>
                <w:rtl w:val="0"/>
              </w:rPr>
              <w:t xml:space="preserve">0.019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A">
            <w:pPr>
              <w:spacing w:after="0" w:lineRule="auto"/>
              <w:rPr/>
            </w:pPr>
            <w:r w:rsidDel="00000000" w:rsidR="00000000" w:rsidRPr="00000000">
              <w:rPr>
                <w:rtl w:val="0"/>
              </w:rPr>
              <w:t xml:space="preserve">0.017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B">
            <w:pPr>
              <w:spacing w:after="0" w:lineRule="auto"/>
              <w:rPr/>
            </w:pPr>
            <w:r w:rsidDel="00000000" w:rsidR="00000000" w:rsidRPr="00000000">
              <w:rPr>
                <w:rtl w:val="0"/>
              </w:rPr>
              <w:t xml:space="preserve">0.057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C">
            <w:pPr>
              <w:spacing w:after="0" w:lineRule="auto"/>
              <w:rPr/>
            </w:pPr>
            <w:r w:rsidDel="00000000" w:rsidR="00000000" w:rsidRPr="00000000">
              <w:rPr>
                <w:rtl w:val="0"/>
              </w:rPr>
              <w:t xml:space="preserve">-0.026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D">
            <w:pPr>
              <w:spacing w:after="0" w:lineRule="auto"/>
              <w:rPr/>
            </w:pPr>
            <w:r w:rsidDel="00000000" w:rsidR="00000000" w:rsidRPr="00000000">
              <w:rPr>
                <w:rtl w:val="0"/>
              </w:rPr>
              <w:t xml:space="preserve">-0.009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E">
            <w:pPr>
              <w:spacing w:after="0" w:lineRule="auto"/>
              <w:rPr/>
            </w:pPr>
            <w:r w:rsidDel="00000000" w:rsidR="00000000" w:rsidRPr="00000000">
              <w:rPr>
                <w:rtl w:val="0"/>
              </w:rPr>
              <w:t xml:space="preserve">Nelder_Mead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F">
            <w:pPr>
              <w:spacing w:after="0" w:lineRule="auto"/>
              <w:rPr/>
            </w:pPr>
            <w:r w:rsidDel="00000000" w:rsidR="00000000" w:rsidRPr="00000000">
              <w:rPr>
                <w:rtl w:val="0"/>
              </w:rPr>
              <w:t xml:space="preserve">4.548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0">
            <w:pPr>
              <w:spacing w:after="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1">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2">
            <w:pPr>
              <w:spacing w:after="0" w:lineRule="auto"/>
              <w:rPr/>
            </w:pPr>
            <w:r w:rsidDel="00000000" w:rsidR="00000000" w:rsidRPr="00000000">
              <w:rPr>
                <w:rtl w:val="0"/>
              </w:rPr>
              <w:t xml:space="preserve">0.004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3">
            <w:pPr>
              <w:spacing w:after="0" w:lineRule="auto"/>
              <w:rPr/>
            </w:pPr>
            <w:r w:rsidDel="00000000" w:rsidR="00000000" w:rsidRPr="00000000">
              <w:rPr>
                <w:rtl w:val="0"/>
              </w:rPr>
              <w:t xml:space="preserve">0.510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4">
            <w:pPr>
              <w:spacing w:after="0" w:lineRule="auto"/>
              <w:rPr/>
            </w:pPr>
            <w:r w:rsidDel="00000000" w:rsidR="00000000" w:rsidRPr="00000000">
              <w:rPr>
                <w:rtl w:val="0"/>
              </w:rPr>
              <w:t xml:space="preserve">0.019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5">
            <w:pPr>
              <w:spacing w:after="0" w:lineRule="auto"/>
              <w:rPr/>
            </w:pPr>
            <w:r w:rsidDel="00000000" w:rsidR="00000000" w:rsidRPr="00000000">
              <w:rPr>
                <w:rtl w:val="0"/>
              </w:rPr>
              <w:t xml:space="preserve">-0.007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6">
            <w:pPr>
              <w:spacing w:after="0" w:lineRule="auto"/>
              <w:rPr/>
            </w:pPr>
            <w:r w:rsidDel="00000000" w:rsidR="00000000" w:rsidRPr="00000000">
              <w:rPr>
                <w:rtl w:val="0"/>
              </w:rPr>
              <w:t xml:space="preserve">-0.058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7">
            <w:pPr>
              <w:spacing w:after="0" w:lineRule="auto"/>
              <w:rPr/>
            </w:pPr>
            <w:r w:rsidDel="00000000" w:rsidR="00000000" w:rsidRPr="00000000">
              <w:rPr>
                <w:rtl w:val="0"/>
              </w:rPr>
              <w:t xml:space="preserve">0.021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8">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9">
            <w:pPr>
              <w:spacing w:after="0" w:lineRule="auto"/>
              <w:rPr/>
            </w:pPr>
            <w:r w:rsidDel="00000000" w:rsidR="00000000" w:rsidRPr="00000000">
              <w:rPr>
                <w:rtl w:val="0"/>
              </w:rPr>
              <w:t xml:space="preserve">0.065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A">
            <w:pPr>
              <w:spacing w:after="0" w:lineRule="auto"/>
              <w:rPr/>
            </w:pPr>
            <w:r w:rsidDel="00000000" w:rsidR="00000000" w:rsidRPr="00000000">
              <w:rPr>
                <w:rtl w:val="0"/>
              </w:rPr>
              <w:t xml:space="preserve">-0.023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B">
            <w:pPr>
              <w:spacing w:after="0" w:lineRule="auto"/>
              <w:rPr/>
            </w:pPr>
            <w:r w:rsidDel="00000000" w:rsidR="00000000" w:rsidRPr="00000000">
              <w:rPr>
                <w:rtl w:val="0"/>
              </w:rPr>
              <w:t xml:space="preserve">-0.004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C">
            <w:pPr>
              <w:spacing w:after="0" w:lineRule="auto"/>
              <w:rPr/>
            </w:pPr>
            <w:r w:rsidDel="00000000" w:rsidR="00000000" w:rsidRPr="00000000">
              <w:rPr>
                <w:rtl w:val="0"/>
              </w:rPr>
              <w:t xml:space="preserve">nlminbwrap</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D">
            <w:pPr>
              <w:spacing w:after="0" w:lineRule="auto"/>
              <w:rPr/>
            </w:pPr>
            <w:r w:rsidDel="00000000" w:rsidR="00000000" w:rsidRPr="00000000">
              <w:rPr>
                <w:rtl w:val="0"/>
              </w:rPr>
              <w:t xml:space="preserve">4.546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E">
            <w:pPr>
              <w:spacing w:after="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F">
            <w:pPr>
              <w:spacing w:after="0" w:lineRule="auto"/>
              <w:rPr/>
            </w:pPr>
            <w:r w:rsidDel="00000000" w:rsidR="00000000" w:rsidRPr="00000000">
              <w:rPr>
                <w:rtl w:val="0"/>
              </w:rPr>
              <w:t xml:space="preserve">0.015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0">
            <w:pPr>
              <w:spacing w:after="0" w:lineRule="auto"/>
              <w:rPr/>
            </w:pPr>
            <w:r w:rsidDel="00000000" w:rsidR="00000000" w:rsidRPr="00000000">
              <w:rPr>
                <w:rtl w:val="0"/>
              </w:rPr>
              <w:t xml:space="preserve">0.004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1">
            <w:pPr>
              <w:spacing w:after="0" w:lineRule="auto"/>
              <w:rPr/>
            </w:pPr>
            <w:r w:rsidDel="00000000" w:rsidR="00000000" w:rsidRPr="00000000">
              <w:rPr>
                <w:rtl w:val="0"/>
              </w:rPr>
              <w:t xml:space="preserve">0.505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2">
            <w:pPr>
              <w:spacing w:after="0" w:lineRule="auto"/>
              <w:rPr/>
            </w:pPr>
            <w:r w:rsidDel="00000000" w:rsidR="00000000" w:rsidRPr="00000000">
              <w:rPr>
                <w:rtl w:val="0"/>
              </w:rPr>
              <w:t xml:space="preserve">0.023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3">
            <w:pPr>
              <w:spacing w:after="0" w:lineRule="auto"/>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4">
            <w:pPr>
              <w:spacing w:after="0" w:lineRule="auto"/>
              <w:rPr/>
            </w:pPr>
            <w:r w:rsidDel="00000000" w:rsidR="00000000" w:rsidRPr="00000000">
              <w:rPr>
                <w:rtl w:val="0"/>
              </w:rPr>
              <w:t xml:space="preserve">-0.065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5">
            <w:pPr>
              <w:spacing w:after="0" w:lineRule="auto"/>
              <w:rPr/>
            </w:pPr>
            <w:r w:rsidDel="00000000" w:rsidR="00000000" w:rsidRPr="00000000">
              <w:rPr>
                <w:rtl w:val="0"/>
              </w:rPr>
              <w:t xml:space="preserve">0.019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6">
            <w:pPr>
              <w:spacing w:after="0" w:lineRule="auto"/>
              <w:rPr/>
            </w:pPr>
            <w:r w:rsidDel="00000000" w:rsidR="00000000" w:rsidRPr="00000000">
              <w:rPr>
                <w:rtl w:val="0"/>
              </w:rPr>
              <w:t xml:space="preserve">0.017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7">
            <w:pPr>
              <w:spacing w:after="0" w:lineRule="auto"/>
              <w:rPr/>
            </w:pPr>
            <w:r w:rsidDel="00000000" w:rsidR="00000000" w:rsidRPr="00000000">
              <w:rPr>
                <w:rtl w:val="0"/>
              </w:rPr>
              <w:t xml:space="preserve">0.057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8">
            <w:pPr>
              <w:spacing w:after="0" w:lineRule="auto"/>
              <w:rPr/>
            </w:pPr>
            <w:r w:rsidDel="00000000" w:rsidR="00000000" w:rsidRPr="00000000">
              <w:rPr>
                <w:rtl w:val="0"/>
              </w:rPr>
              <w:t xml:space="preserve">-0.026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9">
            <w:pPr>
              <w:spacing w:after="0" w:lineRule="auto"/>
              <w:rPr/>
            </w:pPr>
            <w:r w:rsidDel="00000000" w:rsidR="00000000" w:rsidRPr="00000000">
              <w:rPr>
                <w:rtl w:val="0"/>
              </w:rPr>
              <w:t xml:space="preserve">-0.009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A">
            <w:pPr>
              <w:spacing w:after="0" w:lineRule="auto"/>
              <w:rPr/>
            </w:pPr>
            <w:r w:rsidDel="00000000" w:rsidR="00000000" w:rsidRPr="00000000">
              <w:rPr>
                <w:rtl w:val="0"/>
              </w:rPr>
              <w:t xml:space="preserve">nloptwrap.NLOPT_LN_NELDERMEAD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B">
            <w:pPr>
              <w:spacing w:after="0" w:lineRule="auto"/>
              <w:rPr/>
            </w:pPr>
            <w:r w:rsidDel="00000000" w:rsidR="00000000" w:rsidRPr="00000000">
              <w:rPr>
                <w:rtl w:val="0"/>
              </w:rPr>
              <w:t xml:space="preserve">4.545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C">
            <w:pPr>
              <w:spacing w:after="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D">
            <w:pPr>
              <w:spacing w:after="0" w:lineRule="auto"/>
              <w:rPr/>
            </w:pPr>
            <w:r w:rsidDel="00000000" w:rsidR="00000000" w:rsidRPr="00000000">
              <w:rPr>
                <w:rtl w:val="0"/>
              </w:rPr>
              <w:t xml:space="preserve">0.015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E">
            <w:pPr>
              <w:spacing w:after="0" w:lineRule="auto"/>
              <w:rPr/>
            </w:pPr>
            <w:r w:rsidDel="00000000" w:rsidR="00000000" w:rsidRPr="00000000">
              <w:rPr>
                <w:rtl w:val="0"/>
              </w:rPr>
              <w:t xml:space="preserve">0.004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F">
            <w:pPr>
              <w:spacing w:after="0" w:lineRule="auto"/>
              <w:rPr/>
            </w:pPr>
            <w:r w:rsidDel="00000000" w:rsidR="00000000" w:rsidRPr="00000000">
              <w:rPr>
                <w:rtl w:val="0"/>
              </w:rPr>
              <w:t xml:space="preserve">0.505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0">
            <w:pPr>
              <w:spacing w:after="0" w:lineRule="auto"/>
              <w:rPr/>
            </w:pPr>
            <w:r w:rsidDel="00000000" w:rsidR="00000000" w:rsidRPr="00000000">
              <w:rPr>
                <w:rtl w:val="0"/>
              </w:rPr>
              <w:t xml:space="preserve">0.023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1">
            <w:pPr>
              <w:spacing w:after="0" w:lineRule="auto"/>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2">
            <w:pPr>
              <w:spacing w:after="0" w:lineRule="auto"/>
              <w:rPr/>
            </w:pPr>
            <w:r w:rsidDel="00000000" w:rsidR="00000000" w:rsidRPr="00000000">
              <w:rPr>
                <w:rtl w:val="0"/>
              </w:rPr>
              <w:t xml:space="preserve">-0.065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3">
            <w:pPr>
              <w:spacing w:after="0" w:lineRule="auto"/>
              <w:rPr/>
            </w:pPr>
            <w:r w:rsidDel="00000000" w:rsidR="00000000" w:rsidRPr="00000000">
              <w:rPr>
                <w:rtl w:val="0"/>
              </w:rPr>
              <w:t xml:space="preserve">0.019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4">
            <w:pPr>
              <w:spacing w:after="0" w:lineRule="auto"/>
              <w:rPr/>
            </w:pPr>
            <w:r w:rsidDel="00000000" w:rsidR="00000000" w:rsidRPr="00000000">
              <w:rPr>
                <w:rtl w:val="0"/>
              </w:rPr>
              <w:t xml:space="preserve">0.017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5">
            <w:pPr>
              <w:spacing w:after="0" w:lineRule="auto"/>
              <w:rPr/>
            </w:pPr>
            <w:r w:rsidDel="00000000" w:rsidR="00000000" w:rsidRPr="00000000">
              <w:rPr>
                <w:rtl w:val="0"/>
              </w:rPr>
              <w:t xml:space="preserve">0.057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6">
            <w:pPr>
              <w:spacing w:after="0" w:lineRule="auto"/>
              <w:rPr/>
            </w:pPr>
            <w:r w:rsidDel="00000000" w:rsidR="00000000" w:rsidRPr="00000000">
              <w:rPr>
                <w:rtl w:val="0"/>
              </w:rPr>
              <w:t xml:space="preserve">-0.026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7">
            <w:pPr>
              <w:spacing w:after="0" w:lineRule="auto"/>
              <w:rPr/>
            </w:pPr>
            <w:r w:rsidDel="00000000" w:rsidR="00000000" w:rsidRPr="00000000">
              <w:rPr>
                <w:rtl w:val="0"/>
              </w:rPr>
              <w:t xml:space="preserve">-0.009</w:t>
            </w:r>
          </w:p>
        </w:tc>
      </w:tr>
      <w:tr>
        <w:trPr>
          <w:cantSplit w:val="0"/>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8">
            <w:pPr>
              <w:spacing w:after="0" w:lineRule="auto"/>
              <w:rPr/>
            </w:pPr>
            <w:r w:rsidDel="00000000" w:rsidR="00000000" w:rsidRPr="00000000">
              <w:rPr>
                <w:rtl w:val="0"/>
              </w:rPr>
              <w:t xml:space="preserve">nloptwrap.NLOPT_LN_BOBYQA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9">
            <w:pPr>
              <w:spacing w:after="0" w:lineRule="auto"/>
              <w:rPr/>
            </w:pPr>
            <w:r w:rsidDel="00000000" w:rsidR="00000000" w:rsidRPr="00000000">
              <w:rPr>
                <w:rtl w:val="0"/>
              </w:rPr>
              <w:t xml:space="preserve">4.546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A">
            <w:pPr>
              <w:spacing w:after="0" w:lineRule="auto"/>
              <w:rPr/>
            </w:pPr>
            <w:r w:rsidDel="00000000" w:rsidR="00000000" w:rsidRPr="00000000">
              <w:rPr>
                <w:rtl w:val="0"/>
              </w:rPr>
              <w:t xml:space="preserve">0.001</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B">
            <w:pPr>
              <w:spacing w:after="0" w:lineRule="auto"/>
              <w:rPr/>
            </w:pPr>
            <w:r w:rsidDel="00000000" w:rsidR="00000000" w:rsidRPr="00000000">
              <w:rPr>
                <w:rtl w:val="0"/>
              </w:rPr>
              <w:t xml:space="preserve">0.015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C">
            <w:pPr>
              <w:spacing w:after="0" w:lineRule="auto"/>
              <w:rPr/>
            </w:pPr>
            <w:r w:rsidDel="00000000" w:rsidR="00000000" w:rsidRPr="00000000">
              <w:rPr>
                <w:rtl w:val="0"/>
              </w:rPr>
              <w:t xml:space="preserve">0.004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D">
            <w:pPr>
              <w:spacing w:after="0" w:lineRule="auto"/>
              <w:rPr/>
            </w:pPr>
            <w:r w:rsidDel="00000000" w:rsidR="00000000" w:rsidRPr="00000000">
              <w:rPr>
                <w:rtl w:val="0"/>
              </w:rPr>
              <w:t xml:space="preserve">0.505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E">
            <w:pPr>
              <w:spacing w:after="0" w:lineRule="auto"/>
              <w:rPr/>
            </w:pPr>
            <w:r w:rsidDel="00000000" w:rsidR="00000000" w:rsidRPr="00000000">
              <w:rPr>
                <w:rtl w:val="0"/>
              </w:rPr>
              <w:t xml:space="preserve">0.023</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F">
            <w:pPr>
              <w:spacing w:after="0" w:lineRule="auto"/>
              <w:rPr/>
            </w:pPr>
            <w:r w:rsidDel="00000000" w:rsidR="00000000" w:rsidRPr="00000000">
              <w:rPr>
                <w:rtl w:val="0"/>
              </w:rPr>
              <w:t xml:space="preserve">-0.011</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0">
            <w:pPr>
              <w:spacing w:after="0" w:lineRule="auto"/>
              <w:rPr/>
            </w:pPr>
            <w:r w:rsidDel="00000000" w:rsidR="00000000" w:rsidRPr="00000000">
              <w:rPr>
                <w:rtl w:val="0"/>
              </w:rPr>
              <w:t xml:space="preserve">-0.065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1">
            <w:pPr>
              <w:spacing w:after="0" w:lineRule="auto"/>
              <w:rPr/>
            </w:pPr>
            <w:r w:rsidDel="00000000" w:rsidR="00000000" w:rsidRPr="00000000">
              <w:rPr>
                <w:rtl w:val="0"/>
              </w:rPr>
              <w:t xml:space="preserve">0.019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2">
            <w:pPr>
              <w:spacing w:after="0" w:lineRule="auto"/>
              <w:rPr/>
            </w:pPr>
            <w:r w:rsidDel="00000000" w:rsidR="00000000" w:rsidRPr="00000000">
              <w:rPr>
                <w:rtl w:val="0"/>
              </w:rPr>
              <w:t xml:space="preserve">0.017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3">
            <w:pPr>
              <w:spacing w:after="0" w:lineRule="auto"/>
              <w:rPr/>
            </w:pPr>
            <w:r w:rsidDel="00000000" w:rsidR="00000000" w:rsidRPr="00000000">
              <w:rPr>
                <w:rtl w:val="0"/>
              </w:rPr>
              <w:t xml:space="preserve">0.057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4">
            <w:pPr>
              <w:spacing w:after="0" w:lineRule="auto"/>
              <w:rPr/>
            </w:pPr>
            <w:r w:rsidDel="00000000" w:rsidR="00000000" w:rsidRPr="00000000">
              <w:rPr>
                <w:rtl w:val="0"/>
              </w:rPr>
              <w:t xml:space="preserve">-0.026</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5">
            <w:pPr>
              <w:spacing w:after="0" w:lineRule="auto"/>
              <w:rPr/>
            </w:pPr>
            <w:r w:rsidDel="00000000" w:rsidR="00000000" w:rsidRPr="00000000">
              <w:rPr>
                <w:rtl w:val="0"/>
              </w:rPr>
              <w:t xml:space="preserve">-0.009</w:t>
            </w:r>
          </w:p>
        </w:tc>
      </w:tr>
    </w:tbl>
    <w:p w:rsidR="00000000" w:rsidDel="00000000" w:rsidP="00000000" w:rsidRDefault="00000000" w:rsidRPr="00000000" w14:paraId="00000726">
      <w:pPr>
        <w:rPr/>
      </w:pPr>
      <w:r w:rsidDel="00000000" w:rsidR="00000000" w:rsidRPr="00000000">
        <w:rPr>
          <w:rtl w:val="0"/>
        </w:rPr>
      </w:r>
    </w:p>
    <w:tbl>
      <w:tblPr>
        <w:tblStyle w:val="Table10"/>
        <w:tblW w:w="12210.0" w:type="dxa"/>
        <w:jc w:val="left"/>
        <w:tblInd w:w="-1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80"/>
        <w:gridCol w:w="795"/>
        <w:gridCol w:w="870"/>
        <w:gridCol w:w="855"/>
        <w:gridCol w:w="810"/>
        <w:gridCol w:w="840"/>
        <w:gridCol w:w="780"/>
        <w:gridCol w:w="810"/>
        <w:gridCol w:w="840"/>
        <w:gridCol w:w="885"/>
        <w:gridCol w:w="750"/>
        <w:gridCol w:w="765"/>
        <w:gridCol w:w="840"/>
        <w:tblGridChange w:id="0">
          <w:tblGrid>
            <w:gridCol w:w="1590"/>
            <w:gridCol w:w="780"/>
            <w:gridCol w:w="795"/>
            <w:gridCol w:w="870"/>
            <w:gridCol w:w="855"/>
            <w:gridCol w:w="810"/>
            <w:gridCol w:w="840"/>
            <w:gridCol w:w="780"/>
            <w:gridCol w:w="810"/>
            <w:gridCol w:w="840"/>
            <w:gridCol w:w="885"/>
            <w:gridCol w:w="750"/>
            <w:gridCol w:w="765"/>
            <w:gridCol w:w="840"/>
          </w:tblGrid>
        </w:tblGridChange>
      </w:tblGrid>
      <w:tr>
        <w:trPr>
          <w:cantSplit w:val="0"/>
          <w:trHeight w:val="255" w:hRule="atLeast"/>
          <w:tblHeader w:val="0"/>
        </w:trPr>
        <w:tc>
          <w:tcPr>
            <w:gridSpan w:val="14"/>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727">
            <w:pPr>
              <w:spacing w:after="0" w:lineRule="auto"/>
              <w:jc w:val="center"/>
              <w:rPr>
                <w:b w:val="1"/>
              </w:rPr>
            </w:pPr>
            <w:r w:rsidDel="00000000" w:rsidR="00000000" w:rsidRPr="00000000">
              <w:rPr>
                <w:b w:val="1"/>
                <w:rtl w:val="0"/>
              </w:rPr>
              <w:t xml:space="preserve">Table A6 – AllFit results for Government model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5">
            <w:pPr>
              <w:spacing w:after="0" w:lineRule="auto"/>
              <w:jc w:val="left"/>
              <w:rPr/>
            </w:pPr>
            <w:r w:rsidDel="00000000" w:rsidR="00000000" w:rsidRPr="00000000">
              <w:rPr>
                <w:rtl w:val="0"/>
              </w:rPr>
              <w:t xml:space="preserve">       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6">
            <w:pPr>
              <w:spacing w:after="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7">
            <w:pPr>
              <w:spacing w:after="0" w:lineRule="auto"/>
              <w:jc w:val="left"/>
              <w:rPr/>
            </w:pPr>
            <w:r w:rsidDel="00000000" w:rsidR="00000000" w:rsidRPr="00000000">
              <w:rPr>
                <w:rtl w:val="0"/>
              </w:rPr>
              <w:t xml:space="preserve">  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8">
            <w:pPr>
              <w:spacing w:after="0" w:lineRule="auto"/>
              <w:jc w:val="left"/>
              <w:rPr/>
            </w:pPr>
            <w:r w:rsidDel="00000000" w:rsidR="00000000" w:rsidRPr="00000000">
              <w:rPr>
                <w:rtl w:val="0"/>
              </w:rPr>
              <w:t xml:space="preserve">   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9">
            <w:pPr>
              <w:spacing w:after="0"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A">
            <w:pPr>
              <w:spacing w:after="0" w:lineRule="auto"/>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B">
            <w:pPr>
              <w:spacing w:after="0" w:lineRule="auto"/>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C">
            <w:pPr>
              <w:spacing w:after="0" w:lineRule="auto"/>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D">
            <w:pPr>
              <w:spacing w:after="0" w:lineRule="auto"/>
              <w:jc w:val="cente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E">
            <w:pPr>
              <w:spacing w:after="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F">
            <w:pPr>
              <w:spacing w:after="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0">
            <w:pPr>
              <w:spacing w:after="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1">
            <w:pPr>
              <w:spacing w:after="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2">
            <w:pPr>
              <w:spacing w:after="0" w:lineRule="auto"/>
              <w:jc w:val="center"/>
              <w:rPr/>
            </w:pPr>
            <w:r w:rsidDel="00000000" w:rsidR="00000000" w:rsidRPr="00000000">
              <w:rPr>
                <w:rtl w:val="0"/>
              </w:rPr>
              <w:t xml:space="preserve">14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3">
            <w:pPr>
              <w:spacing w:after="0" w:lineRule="auto"/>
              <w:rPr/>
            </w:pPr>
            <w:r w:rsidDel="00000000" w:rsidR="00000000" w:rsidRPr="00000000">
              <w:rPr>
                <w:rtl w:val="0"/>
              </w:rPr>
              <w:t xml:space="preserve">bobyqa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4">
            <w:pPr>
              <w:spacing w:after="0" w:lineRule="auto"/>
              <w:rPr/>
            </w:pPr>
            <w:r w:rsidDel="00000000" w:rsidR="00000000" w:rsidRPr="00000000">
              <w:rPr>
                <w:rtl w:val="0"/>
              </w:rPr>
              <w:t xml:space="preserve">2.828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5">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6">
            <w:pPr>
              <w:spacing w:after="0" w:lineRule="auto"/>
              <w:rPr/>
            </w:pPr>
            <w:r w:rsidDel="00000000" w:rsidR="00000000" w:rsidRPr="00000000">
              <w:rPr>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7">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8">
            <w:pPr>
              <w:spacing w:after="0" w:lineRule="auto"/>
              <w:rPr/>
            </w:pPr>
            <w:r w:rsidDel="00000000" w:rsidR="00000000" w:rsidRPr="00000000">
              <w:rPr>
                <w:rtl w:val="0"/>
              </w:rPr>
              <w:t xml:space="preserve">0.612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9">
            <w:pPr>
              <w:spacing w:after="0" w:lineRule="auto"/>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A">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B">
            <w:pPr>
              <w:spacing w:after="0" w:lineRule="auto"/>
              <w:rPr/>
            </w:pPr>
            <w:r w:rsidDel="00000000" w:rsidR="00000000" w:rsidRPr="00000000">
              <w:rPr>
                <w:rtl w:val="0"/>
              </w:rPr>
              <w:t xml:space="preserve">0.225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C">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D">
            <w:pPr>
              <w:spacing w:after="0" w:lineRule="auto"/>
              <w:rPr/>
            </w:pPr>
            <w:r w:rsidDel="00000000" w:rsidR="00000000" w:rsidRPr="00000000">
              <w:rPr>
                <w:rtl w:val="0"/>
              </w:rPr>
              <w:t xml:space="preserve">-0.069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E">
            <w:pPr>
              <w:spacing w:after="0" w:lineRule="auto"/>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4F">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0">
            <w:pPr>
              <w:spacing w:after="0" w:lineRule="auto"/>
              <w:rPr/>
            </w:pPr>
            <w:r w:rsidDel="00000000" w:rsidR="00000000" w:rsidRPr="00000000">
              <w:rPr>
                <w:rtl w:val="0"/>
              </w:rPr>
              <w:t xml:space="preserve">-0.128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1">
            <w:pPr>
              <w:spacing w:after="0" w:lineRule="auto"/>
              <w:rPr/>
            </w:pPr>
            <w:r w:rsidDel="00000000" w:rsidR="00000000" w:rsidRPr="00000000">
              <w:rPr>
                <w:rtl w:val="0"/>
              </w:rPr>
              <w:t xml:space="preserve">Nelder_Mead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2">
            <w:pPr>
              <w:spacing w:after="0" w:lineRule="auto"/>
              <w:rPr/>
            </w:pPr>
            <w:r w:rsidDel="00000000" w:rsidR="00000000" w:rsidRPr="00000000">
              <w:rPr>
                <w:rtl w:val="0"/>
              </w:rPr>
              <w:t xml:space="preserve">2.827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3">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4">
            <w:pPr>
              <w:spacing w:after="0" w:lineRule="auto"/>
              <w:rPr/>
            </w:pPr>
            <w:r w:rsidDel="00000000" w:rsidR="00000000" w:rsidRPr="00000000">
              <w:rPr>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5">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6">
            <w:pPr>
              <w:spacing w:after="0" w:lineRule="auto"/>
              <w:rPr/>
            </w:pPr>
            <w:r w:rsidDel="00000000" w:rsidR="00000000" w:rsidRPr="00000000">
              <w:rPr>
                <w:rtl w:val="0"/>
              </w:rPr>
              <w:t xml:space="preserve">0.612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7">
            <w:pPr>
              <w:spacing w:after="0" w:lineRule="auto"/>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8">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9">
            <w:pPr>
              <w:spacing w:after="0" w:lineRule="auto"/>
              <w:rPr/>
            </w:pPr>
            <w:r w:rsidDel="00000000" w:rsidR="00000000" w:rsidRPr="00000000">
              <w:rPr>
                <w:rtl w:val="0"/>
              </w:rPr>
              <w:t xml:space="preserve">0.225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A">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B">
            <w:pPr>
              <w:spacing w:after="0" w:lineRule="auto"/>
              <w:rPr/>
            </w:pPr>
            <w:r w:rsidDel="00000000" w:rsidR="00000000" w:rsidRPr="00000000">
              <w:rPr>
                <w:rtl w:val="0"/>
              </w:rPr>
              <w:t xml:space="preserve">-0.069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C">
            <w:pPr>
              <w:spacing w:after="0" w:lineRule="auto"/>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D">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E">
            <w:pPr>
              <w:spacing w:after="0" w:lineRule="auto"/>
              <w:rPr/>
            </w:pPr>
            <w:r w:rsidDel="00000000" w:rsidR="00000000" w:rsidRPr="00000000">
              <w:rPr>
                <w:rtl w:val="0"/>
              </w:rPr>
              <w:t xml:space="preserve">-0.128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5F">
            <w:pPr>
              <w:spacing w:after="0" w:lineRule="auto"/>
              <w:rPr/>
            </w:pPr>
            <w:r w:rsidDel="00000000" w:rsidR="00000000" w:rsidRPr="00000000">
              <w:rPr>
                <w:rtl w:val="0"/>
              </w:rPr>
              <w:t xml:space="preserve">nlminbwrap</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0">
            <w:pPr>
              <w:spacing w:after="0" w:lineRule="auto"/>
              <w:rPr/>
            </w:pPr>
            <w:r w:rsidDel="00000000" w:rsidR="00000000" w:rsidRPr="00000000">
              <w:rPr>
                <w:rtl w:val="0"/>
              </w:rPr>
              <w:t xml:space="preserve">2.827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1">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2">
            <w:pPr>
              <w:spacing w:after="0" w:lineRule="auto"/>
              <w:rPr/>
            </w:pPr>
            <w:r w:rsidDel="00000000" w:rsidR="00000000" w:rsidRPr="00000000">
              <w:rPr>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3">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4">
            <w:pPr>
              <w:spacing w:after="0" w:lineRule="auto"/>
              <w:rPr/>
            </w:pPr>
            <w:r w:rsidDel="00000000" w:rsidR="00000000" w:rsidRPr="00000000">
              <w:rPr>
                <w:rtl w:val="0"/>
              </w:rPr>
              <w:t xml:space="preserve">0.612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5">
            <w:pPr>
              <w:spacing w:after="0" w:lineRule="auto"/>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6">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7">
            <w:pPr>
              <w:spacing w:after="0" w:lineRule="auto"/>
              <w:rPr/>
            </w:pPr>
            <w:r w:rsidDel="00000000" w:rsidR="00000000" w:rsidRPr="00000000">
              <w:rPr>
                <w:rtl w:val="0"/>
              </w:rPr>
              <w:t xml:space="preserve">0.225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8">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9">
            <w:pPr>
              <w:spacing w:after="0" w:lineRule="auto"/>
              <w:rPr/>
            </w:pPr>
            <w:r w:rsidDel="00000000" w:rsidR="00000000" w:rsidRPr="00000000">
              <w:rPr>
                <w:rtl w:val="0"/>
              </w:rPr>
              <w:t xml:space="preserve">-0.069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A">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B">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C">
            <w:pPr>
              <w:spacing w:after="0" w:lineRule="auto"/>
              <w:rPr/>
            </w:pPr>
            <w:r w:rsidDel="00000000" w:rsidR="00000000" w:rsidRPr="00000000">
              <w:rPr>
                <w:rtl w:val="0"/>
              </w:rPr>
              <w:t xml:space="preserve">-0.128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D">
            <w:pPr>
              <w:spacing w:after="0" w:lineRule="auto"/>
              <w:rPr/>
            </w:pPr>
            <w:r w:rsidDel="00000000" w:rsidR="00000000" w:rsidRPr="00000000">
              <w:rPr>
                <w:rtl w:val="0"/>
              </w:rPr>
              <w:t xml:space="preserve">nloptwrap.NLOPT_LN_NELDERMEAD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E">
            <w:pPr>
              <w:spacing w:after="0" w:lineRule="auto"/>
              <w:rPr/>
            </w:pPr>
            <w:r w:rsidDel="00000000" w:rsidR="00000000" w:rsidRPr="00000000">
              <w:rPr>
                <w:rtl w:val="0"/>
              </w:rPr>
              <w:t xml:space="preserve">2.826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6F">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0">
            <w:pPr>
              <w:spacing w:after="0" w:lineRule="auto"/>
              <w:rPr/>
            </w:pPr>
            <w:r w:rsidDel="00000000" w:rsidR="00000000" w:rsidRPr="00000000">
              <w:rPr>
                <w:rtl w:val="0"/>
              </w:rPr>
              <w:t xml:space="preserve">0.000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1">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2">
            <w:pPr>
              <w:spacing w:after="0" w:lineRule="auto"/>
              <w:rPr/>
            </w:pPr>
            <w:r w:rsidDel="00000000" w:rsidR="00000000" w:rsidRPr="00000000">
              <w:rPr>
                <w:rtl w:val="0"/>
              </w:rPr>
              <w:t xml:space="preserve">0.611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3">
            <w:pPr>
              <w:spacing w:after="0" w:lineRule="auto"/>
              <w:rPr/>
            </w:pPr>
            <w:r w:rsidDel="00000000" w:rsidR="00000000" w:rsidRPr="00000000">
              <w:rPr>
                <w:rtl w:val="0"/>
              </w:rPr>
              <w:t xml:space="preserve">-0.028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4">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5">
            <w:pPr>
              <w:spacing w:after="0" w:lineRule="auto"/>
              <w:rPr/>
            </w:pPr>
            <w:r w:rsidDel="00000000" w:rsidR="00000000" w:rsidRPr="00000000">
              <w:rPr>
                <w:rtl w:val="0"/>
              </w:rPr>
              <w:t xml:space="preserve">0.225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6">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7">
            <w:pPr>
              <w:spacing w:after="0" w:lineRule="auto"/>
              <w:rPr/>
            </w:pPr>
            <w:r w:rsidDel="00000000" w:rsidR="00000000" w:rsidRPr="00000000">
              <w:rPr>
                <w:rtl w:val="0"/>
              </w:rPr>
              <w:t xml:space="preserve">-0.069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8">
            <w:pPr>
              <w:spacing w:after="0" w:lineRule="auto"/>
              <w:rPr/>
            </w:pPr>
            <w:r w:rsidDel="00000000" w:rsidR="00000000" w:rsidRPr="00000000">
              <w:rPr>
                <w:rtl w:val="0"/>
              </w:rPr>
              <w:t xml:space="preserve">0.054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9">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A">
            <w:pPr>
              <w:spacing w:after="0" w:lineRule="auto"/>
              <w:rPr/>
            </w:pPr>
            <w:r w:rsidDel="00000000" w:rsidR="00000000" w:rsidRPr="00000000">
              <w:rPr>
                <w:rtl w:val="0"/>
              </w:rPr>
              <w:t xml:space="preserve">-0.128</w:t>
            </w:r>
          </w:p>
        </w:tc>
      </w:tr>
      <w:tr>
        <w:trPr>
          <w:cantSplit w:val="0"/>
          <w:trHeight w:val="28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B">
            <w:pPr>
              <w:spacing w:after="0" w:lineRule="auto"/>
              <w:rPr/>
            </w:pPr>
            <w:r w:rsidDel="00000000" w:rsidR="00000000" w:rsidRPr="00000000">
              <w:rPr>
                <w:rtl w:val="0"/>
              </w:rPr>
              <w:t xml:space="preserve">nloptwrap.NLOPT_LN_BOBYQA</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C">
            <w:pPr>
              <w:spacing w:after="0" w:lineRule="auto"/>
              <w:rPr/>
            </w:pPr>
            <w:r w:rsidDel="00000000" w:rsidR="00000000" w:rsidRPr="00000000">
              <w:rPr>
                <w:rtl w:val="0"/>
              </w:rPr>
              <w:t xml:space="preserve">2.827</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D">
            <w:pPr>
              <w:spacing w:after="0" w:lineRule="auto"/>
              <w:rPr/>
            </w:pPr>
            <w:r w:rsidDel="00000000" w:rsidR="00000000" w:rsidRPr="00000000">
              <w:rPr>
                <w:rtl w:val="0"/>
              </w:rPr>
              <w:t xml:space="preserve">0.018</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E">
            <w:pPr>
              <w:spacing w:after="0" w:lineRule="auto"/>
              <w:rPr/>
            </w:pPr>
            <w:r w:rsidDel="00000000" w:rsidR="00000000" w:rsidRPr="00000000">
              <w:rPr>
                <w:rtl w:val="0"/>
              </w:rPr>
              <w:t xml:space="preserve">-0.000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7F">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0">
            <w:pPr>
              <w:spacing w:after="0" w:lineRule="auto"/>
              <w:rPr/>
            </w:pPr>
            <w:r w:rsidDel="00000000" w:rsidR="00000000" w:rsidRPr="00000000">
              <w:rPr>
                <w:rtl w:val="0"/>
              </w:rPr>
              <w:t xml:space="preserve">0.611</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1">
            <w:pPr>
              <w:spacing w:after="0" w:lineRule="auto"/>
              <w:rPr/>
            </w:pPr>
            <w:r w:rsidDel="00000000" w:rsidR="00000000" w:rsidRPr="00000000">
              <w:rPr>
                <w:rtl w:val="0"/>
              </w:rPr>
              <w:t xml:space="preserve">-0.029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2">
            <w:pPr>
              <w:spacing w:after="0" w:lineRule="auto"/>
              <w:rPr/>
            </w:pPr>
            <w:r w:rsidDel="00000000" w:rsidR="00000000" w:rsidRPr="00000000">
              <w:rPr>
                <w:rtl w:val="0"/>
              </w:rPr>
              <w:t xml:space="preserve">0.002</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3">
            <w:pPr>
              <w:spacing w:after="0" w:lineRule="auto"/>
              <w:rPr/>
            </w:pPr>
            <w:r w:rsidDel="00000000" w:rsidR="00000000" w:rsidRPr="00000000">
              <w:rPr>
                <w:rtl w:val="0"/>
              </w:rPr>
              <w:t xml:space="preserve">0.225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4">
            <w:pPr>
              <w:spacing w:after="0" w:lineRule="auto"/>
              <w:rPr/>
            </w:pPr>
            <w:r w:rsidDel="00000000" w:rsidR="00000000" w:rsidRPr="00000000">
              <w:rPr>
                <w:rtl w:val="0"/>
              </w:rPr>
              <w:t xml:space="preserve">-0.020</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5">
            <w:pPr>
              <w:spacing w:after="0" w:lineRule="auto"/>
              <w:rPr/>
            </w:pPr>
            <w:r w:rsidDel="00000000" w:rsidR="00000000" w:rsidRPr="00000000">
              <w:rPr>
                <w:rtl w:val="0"/>
              </w:rPr>
              <w:t xml:space="preserve">-0.069</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6">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7">
            <w:pPr>
              <w:spacing w:after="0" w:lineRule="auto"/>
              <w:rPr/>
            </w:pPr>
            <w:r w:rsidDel="00000000" w:rsidR="00000000" w:rsidRPr="00000000">
              <w:rPr>
                <w:rtl w:val="0"/>
              </w:rPr>
              <w:t xml:space="preserve">0.035</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8">
            <w:pPr>
              <w:spacing w:after="0" w:lineRule="auto"/>
              <w:rPr/>
            </w:pPr>
            <w:r w:rsidDel="00000000" w:rsidR="00000000" w:rsidRPr="00000000">
              <w:rPr>
                <w:rtl w:val="0"/>
              </w:rPr>
              <w:t xml:space="preserve">-0.128</w:t>
            </w:r>
          </w:p>
        </w:tc>
      </w:tr>
    </w:tbl>
    <w:p w:rsidR="00000000" w:rsidDel="00000000" w:rsidP="00000000" w:rsidRDefault="00000000" w:rsidRPr="00000000" w14:paraId="00000789">
      <w:pPr>
        <w:rPr/>
      </w:pPr>
      <w:r w:rsidDel="00000000" w:rsidR="00000000" w:rsidRPr="00000000">
        <w:rPr>
          <w:rtl w:val="0"/>
        </w:rPr>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530"/>
        <w:tblGridChange w:id="0">
          <w:tblGrid>
            <w:gridCol w:w="4380"/>
            <w:gridCol w:w="4530"/>
          </w:tblGrid>
        </w:tblGridChange>
      </w:tblGrid>
      <w:tr>
        <w:trPr>
          <w:cantSplit w:val="0"/>
          <w:trHeight w:val="285" w:hRule="atLeast"/>
          <w:tblHeader w:val="0"/>
        </w:trPr>
        <w:tc>
          <w:tcPr>
            <w:gridSpan w:val="2"/>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78A">
            <w:pPr>
              <w:spacing w:after="0" w:lineRule="auto"/>
              <w:rPr/>
            </w:pPr>
            <w:r w:rsidDel="00000000" w:rsidR="00000000" w:rsidRPr="00000000">
              <w:rPr>
                <w:rtl w:val="0"/>
              </w:rPr>
              <w:t xml:space="preserve">                                 Table A5 and A6 Key</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C">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D">
            <w:pPr>
              <w:spacing w:after="0" w:lineRule="auto"/>
              <w:rPr/>
            </w:pPr>
            <w:r w:rsidDel="00000000" w:rsidR="00000000" w:rsidRPr="00000000">
              <w:rPr>
                <w:rtl w:val="0"/>
              </w:rPr>
              <w:t xml:space="preserve">Method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E">
            <w:pPr>
              <w:spacing w:after="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8F">
            <w:pPr>
              <w:spacing w:after="0" w:lineRule="auto"/>
              <w:rPr/>
            </w:pPr>
            <w:r w:rsidDel="00000000" w:rsidR="00000000" w:rsidRPr="00000000">
              <w:rPr>
                <w:rtl w:val="0"/>
              </w:rPr>
              <w:t xml:space="preserve">Intercept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0">
            <w:pPr>
              <w:spacing w:after="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1">
            <w:pPr>
              <w:spacing w:after="0" w:lineRule="auto"/>
              <w:rPr/>
            </w:pPr>
            <w:r w:rsidDel="00000000" w:rsidR="00000000" w:rsidRPr="00000000">
              <w:rPr>
                <w:rtl w:val="0"/>
              </w:rPr>
              <w:t xml:space="preserve">AUD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2">
            <w:pPr>
              <w:spacing w:after="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3">
            <w:pPr>
              <w:spacing w:after="0" w:lineRule="auto"/>
              <w:rPr/>
            </w:pPr>
            <w:r w:rsidDel="00000000" w:rsidR="00000000" w:rsidRPr="00000000">
              <w:rPr>
                <w:rtl w:val="0"/>
              </w:rPr>
              <w:t xml:space="preserve">Drug Use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4">
            <w:pPr>
              <w:spacing w:after="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5">
            <w:pPr>
              <w:spacing w:after="0" w:lineRule="auto"/>
              <w:rPr/>
            </w:pPr>
            <w:r w:rsidDel="00000000" w:rsidR="00000000" w:rsidRPr="00000000">
              <w:rPr>
                <w:rtl w:val="0"/>
              </w:rPr>
              <w:t xml:space="preserve">Marijuana Use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6">
            <w:pPr>
              <w:spacing w:after="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7">
            <w:pPr>
              <w:spacing w:after="0" w:lineRule="auto"/>
              <w:rPr/>
            </w:pPr>
            <w:r w:rsidDel="00000000" w:rsidR="00000000" w:rsidRPr="00000000">
              <w:rPr>
                <w:rtl w:val="0"/>
              </w:rPr>
              <w:t xml:space="preserve">Population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8">
            <w:pPr>
              <w:spacing w:after="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9">
            <w:pPr>
              <w:spacing w:after="0" w:lineRule="auto"/>
              <w:rPr/>
            </w:pPr>
            <w:r w:rsidDel="00000000" w:rsidR="00000000" w:rsidRPr="00000000">
              <w:rPr>
                <w:rtl w:val="0"/>
              </w:rPr>
              <w:t xml:space="preserve">Income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A">
            <w:pPr>
              <w:spacing w:after="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B">
            <w:pPr>
              <w:spacing w:after="0" w:lineRule="auto"/>
              <w:rPr/>
            </w:pPr>
            <w:r w:rsidDel="00000000" w:rsidR="00000000" w:rsidRPr="00000000">
              <w:rPr>
                <w:rtl w:val="0"/>
              </w:rPr>
              <w:t xml:space="preserve">Medicaid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C">
            <w:pPr>
              <w:spacing w:after="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D">
            <w:pPr>
              <w:spacing w:after="0" w:lineRule="auto"/>
              <w:rPr/>
            </w:pPr>
            <w:r w:rsidDel="00000000" w:rsidR="00000000" w:rsidRPr="00000000">
              <w:rPr>
                <w:rtl w:val="0"/>
              </w:rPr>
              <w:t xml:space="preserve">Male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E">
            <w:pPr>
              <w:spacing w:after="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9F">
            <w:pPr>
              <w:spacing w:after="0" w:lineRule="auto"/>
              <w:rPr/>
            </w:pPr>
            <w:r w:rsidDel="00000000" w:rsidR="00000000" w:rsidRPr="00000000">
              <w:rPr>
                <w:rtl w:val="0"/>
              </w:rPr>
              <w:t xml:space="preserve">Unemployment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0">
            <w:pPr>
              <w:spacing w:after="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1">
            <w:pPr>
              <w:spacing w:after="0" w:lineRule="auto"/>
              <w:rPr/>
            </w:pPr>
            <w:r w:rsidDel="00000000" w:rsidR="00000000" w:rsidRPr="00000000">
              <w:rPr>
                <w:rtl w:val="0"/>
              </w:rPr>
              <w:t xml:space="preserve">Health Spending</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2">
            <w:pPr>
              <w:spacing w:after="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3">
            <w:pPr>
              <w:spacing w:after="0" w:lineRule="auto"/>
              <w:rPr/>
            </w:pPr>
            <w:r w:rsidDel="00000000" w:rsidR="00000000" w:rsidRPr="00000000">
              <w:rPr>
                <w:rtl w:val="0"/>
              </w:rPr>
              <w:t xml:space="preserve">Uninsured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4">
            <w:pPr>
              <w:spacing w:after="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5">
            <w:pPr>
              <w:spacing w:after="0" w:lineRule="auto"/>
              <w:rPr/>
            </w:pPr>
            <w:r w:rsidDel="00000000" w:rsidR="00000000" w:rsidRPr="00000000">
              <w:rPr>
                <w:rtl w:val="0"/>
              </w:rPr>
              <w:t xml:space="preserve">Hispanic Ethnicity</w:t>
            </w:r>
          </w:p>
        </w:tc>
      </w:tr>
      <w:tr>
        <w:trPr>
          <w:cantSplit w:val="0"/>
          <w:trHeight w:val="285" w:hRule="atLeast"/>
          <w:tblHeader w:val="0"/>
        </w:trPr>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6">
            <w:pPr>
              <w:spacing w:after="0" w:lineRule="auto"/>
              <w:rPr/>
            </w:pPr>
            <w:r w:rsidDel="00000000" w:rsidR="00000000" w:rsidRPr="00000000">
              <w:rPr>
                <w:rtl w:val="0"/>
              </w:rPr>
              <w:t xml:space="preserve">14</w:t>
            </w:r>
          </w:p>
        </w:tc>
        <w:tc>
          <w:tcPr>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A7">
            <w:pPr>
              <w:spacing w:after="0" w:lineRule="auto"/>
              <w:rPr/>
            </w:pPr>
            <w:r w:rsidDel="00000000" w:rsidR="00000000" w:rsidRPr="00000000">
              <w:rPr>
                <w:rtl w:val="0"/>
              </w:rPr>
              <w:t xml:space="preserve">White Race</w:t>
            </w:r>
          </w:p>
        </w:tc>
      </w:tr>
    </w:tbl>
    <w:p w:rsidR="00000000" w:rsidDel="00000000" w:rsidP="00000000" w:rsidRDefault="00000000" w:rsidRPr="00000000" w14:paraId="000007A8">
      <w:pPr>
        <w:rPr/>
      </w:pPr>
      <w:r w:rsidDel="00000000" w:rsidR="00000000" w:rsidRPr="00000000">
        <w:rPr>
          <w:rtl w:val="0"/>
        </w:rPr>
      </w:r>
    </w:p>
    <w:sectPr>
      <w:footerReference r:id="rId9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ailey Osweiler" w:id="4" w:date="2024-08-09T19:32:23Z">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maybe cut or reduce this section and begin with the "Background on Opioid Crisis" section. Thoughts?</w:t>
      </w:r>
    </w:p>
  </w:comment>
  <w:comment w:author="Bailey Osweiler" w:id="7" w:date="2024-08-05T19:57:52Z">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@markdaniels.tamakloe@yahoo.com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misunderstanding but what is alpha in the above equation (Multiplied by Xit)? i dont see it explained here.</w:t>
      </w:r>
    </w:p>
  </w:comment>
  <w:comment w:author="Mark-Daniels Tamakloe" w:id="8" w:date="2024-08-09T18:45:37Z">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Bailey,</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pointing that out. The α in the equation represents the vector of coefficients associated with the control variables, denoted by Xit.  These control variables include factors like population, income, Medicaid enrollment, etc. The term</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𝛼Xit captures the effect of these control variables on the count of treatment centers. I'll make sure to clarify this in the text</w:t>
      </w:r>
    </w:p>
  </w:comment>
  <w:comment w:author="Bailey Osweiler" w:id="9" w:date="2024-08-05T19:57:52Z">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@markdaniels.tamakloe@yahoo.com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misunderstanding but what is alpha in the above equation (Multiplied by Xit)? i dont see it explained here.</w:t>
      </w:r>
    </w:p>
  </w:comment>
  <w:comment w:author="Mark-Daniels Tamakloe" w:id="10" w:date="2024-08-09T18:45:37Z">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Bailey,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pointing that out. The α in the equation represents the vector of coefficients associated with the control variables, denoted by Xit.  These control variables include factors like population, income, Medicaid enrollment, etc. The term</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𝛼Xit captures the effect of these control variables on the count of treatment centers. I'll make sure to clarify this in the text</w:t>
      </w:r>
    </w:p>
  </w:comment>
  <w:comment w:author="Bailey Osweiler" w:id="11" w:date="2024-08-05T19:57:52Z">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@markdaniels.tamakloe@yahoo.com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misunderstanding but what is alpha in the above equation (Multiplied by Xit)? i dont see it explained here.</w:t>
      </w:r>
    </w:p>
  </w:comment>
  <w:comment w:author="Mark-Daniels Tamakloe" w:id="12" w:date="2024-08-09T18:45:37Z">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Bailey,</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pointing that out. The α in the equation represents the vector of coefficients associated with the control variables, denoted by Xit.  These control variables include factors like population, income, Medicaid enrollment, etc. The term</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𝛼Xit captures the effect of these control variables on the count of treatment centers. I'll make sure to clarify this in the text</w:t>
      </w:r>
    </w:p>
  </w:comment>
  <w:comment w:author="Bailey Osweiler" w:id="13" w:date="2024-08-05T19:57:52Z">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@markdaniels.tamakloe@yahoo.com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misunderstanding but what is alpha in the above equation (Multiplied by Xit)? i dont see it explained here.</w:t>
      </w:r>
    </w:p>
  </w:comment>
  <w:comment w:author="Mark-Daniels Tamakloe" w:id="14" w:date="2024-08-09T18:45:37Z">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Bailey,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pointing that out. The α in the equation represents the vector of coefficients associated with the control variables, denoted by Xit.  These control variables include factors like population, income, Medicaid enrollment, etc. The term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𝛼Xit captures the effect of these control variables on the count of treatment centers. I'll make sure to clarify this in the text</w:t>
      </w:r>
    </w:p>
  </w:comment>
  <w:comment w:author="Bailey Osweiler" w:id="15" w:date="2024-07-25T17:44:00Z">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both link to only 1 state - any ideas how to cite all 51 at once?</w:t>
      </w:r>
    </w:p>
  </w:comment>
  <w:comment w:author="Joseph Eshun" w:id="16" w:date="2024-07-29T18:10:21Z">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of this</w:t>
      </w:r>
    </w:p>
  </w:comment>
  <w:comment w:author="Bailey Osweiler" w:id="5" w:date="2024-08-08T00:08:40Z">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move some of this information to the appendix if needing to cut down words.</w:t>
      </w:r>
    </w:p>
  </w:comment>
  <w:comment w:author="Bailey Osweiler" w:id="6" w:date="2024-08-08T00:13:29Z">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data sources section is 461 words so could remove</w:t>
      </w:r>
    </w:p>
  </w:comment>
  <w:comment w:author="Bailey Osweiler" w:id="2" w:date="2024-08-08T00:06:54Z">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paper is 5113 words right now.</w:t>
      </w:r>
    </w:p>
  </w:comment>
  <w:comment w:author="Bailey Osweiler" w:id="3" w:date="2024-08-08T00:08:07Z">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JSAT recommends around 5000 words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Affairs has a maximum of 3250</w:t>
      </w:r>
    </w:p>
  </w:comment>
  <w:comment w:author="Joseph Eshun" w:id="0" w:date="2024-07-19T15:29:35Z">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too</w:t>
      </w:r>
    </w:p>
  </w:comment>
  <w:comment w:author="Bailey Osweiler" w:id="1" w:date="2024-07-23T16:49:10Z">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JSAT has a pretty high impact factor - it might be worth trying to get into this journal first! If so, we need to meet their requirements, starting with shortening our word count (to approx 5000 words)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https://www.sciencedirect.com/journal/journal-of-substance-use-and-addiction-treatment/publish/guide-for-authors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480.0003750000001" w:lineRule="auto"/>
      <w:ind w:firstLine="0"/>
    </w:pPr>
    <w:rPr>
      <w:b w:val="1"/>
      <w:u w:val="single"/>
    </w:rPr>
  </w:style>
  <w:style w:type="paragraph" w:styleId="Heading2">
    <w:name w:val="heading 2"/>
    <w:basedOn w:val="Normal"/>
    <w:next w:val="Normal"/>
    <w:pPr>
      <w:keepNext w:val="1"/>
      <w:keepLines w:val="1"/>
      <w:spacing w:after="120" w:before="360" w:lineRule="auto"/>
      <w:ind w:firstLine="0"/>
    </w:pPr>
    <w:rPr>
      <w:b w:val="1"/>
    </w:rPr>
  </w:style>
  <w:style w:type="paragraph" w:styleId="Heading3">
    <w:name w:val="heading 3"/>
    <w:basedOn w:val="Normal"/>
    <w:next w:val="Normal"/>
    <w:pPr>
      <w:keepNext w:val="1"/>
      <w:keepLines w:val="1"/>
      <w:spacing w:after="80" w:before="320" w:lineRule="auto"/>
      <w:ind w:firstLine="0"/>
    </w:pPr>
    <w:rPr>
      <w:i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dc.gov/nchs/pressroom/sosmap/drug_poisoning_mortality/drug_poisoning.htm" TargetMode="External"/><Relationship Id="rId42" Type="http://schemas.openxmlformats.org/officeDocument/2006/relationships/hyperlink" Target="https://doi.org/10.1093/socpro/spae013" TargetMode="External"/><Relationship Id="rId41" Type="http://schemas.openxmlformats.org/officeDocument/2006/relationships/hyperlink" Target="https://doi.org/10.1093/socpro/spae013" TargetMode="External"/><Relationship Id="rId44" Type="http://schemas.openxmlformats.org/officeDocument/2006/relationships/hyperlink" Target="https://aspe.hhs.gov/reports/examining-substance-use-disorder-treatment-demand-provider-capacity-changing-health-care-system-1" TargetMode="External"/><Relationship Id="rId43" Type="http://schemas.openxmlformats.org/officeDocument/2006/relationships/hyperlink" Target="https://aspe.hhs.gov/reports/examining-substance-use-disorder-treatment-demand-provider-capacity-changing-health-care-system-1" TargetMode="External"/><Relationship Id="rId46" Type="http://schemas.openxmlformats.org/officeDocument/2006/relationships/hyperlink" Target="https://doi.org/10.4324/9781315103488" TargetMode="External"/><Relationship Id="rId45" Type="http://schemas.openxmlformats.org/officeDocument/2006/relationships/hyperlink" Target="https://doi.org/10.4324/9781315103488" TargetMode="External"/><Relationship Id="rId48" Type="http://schemas.openxmlformats.org/officeDocument/2006/relationships/hyperlink" Target="https://doi.org/10.2139/ssrn.313827" TargetMode="External"/><Relationship Id="rId47" Type="http://schemas.openxmlformats.org/officeDocument/2006/relationships/hyperlink" Target="https://doi.org/10.1016/j.jhealeco.2021.102434" TargetMode="External"/><Relationship Id="rId49" Type="http://schemas.openxmlformats.org/officeDocument/2006/relationships/hyperlink" Target="https://doi.org/10.2139/ssrn.313827" TargetMode="External"/><Relationship Id="rId31" Type="http://schemas.openxmlformats.org/officeDocument/2006/relationships/hyperlink" Target="https://doi.org/10.1016/s0167-6296(01)00123-0" TargetMode="External"/><Relationship Id="rId30" Type="http://schemas.openxmlformats.org/officeDocument/2006/relationships/hyperlink" Target="http://www.cms.gov/Research-Statistics-Data-and-Systems/Statistics-Trends-and-Reports/NationalHealthExpendData/Downloads/resident-state-estimates.zip" TargetMode="External"/><Relationship Id="rId33" Type="http://schemas.openxmlformats.org/officeDocument/2006/relationships/hyperlink" Target="https://doi.org/10.2139/ssrn.984565" TargetMode="External"/><Relationship Id="rId32" Type="http://schemas.openxmlformats.org/officeDocument/2006/relationships/hyperlink" Target="https://doi.org/10.1016/s0167-6296(01)00123-0" TargetMode="External"/><Relationship Id="rId35" Type="http://schemas.openxmlformats.org/officeDocument/2006/relationships/hyperlink" Target="https://www.rdocumentation.org/packages/lme4/versions/1.1-27.1/topics/convergence" TargetMode="External"/><Relationship Id="rId34" Type="http://schemas.openxmlformats.org/officeDocument/2006/relationships/hyperlink" Target="https://doi.org/10.2139/ssrn.984565" TargetMode="External"/><Relationship Id="rId37" Type="http://schemas.openxmlformats.org/officeDocument/2006/relationships/hyperlink" Target="https://www.cdc.gov/drugoverdose/deaths/index.html" TargetMode="External"/><Relationship Id="rId36" Type="http://schemas.openxmlformats.org/officeDocument/2006/relationships/hyperlink" Target="https://www.rdocumentation.org/packages/lme4/versions/1.1-27.1/topics/convergence" TargetMode="External"/><Relationship Id="rId39" Type="http://schemas.openxmlformats.org/officeDocument/2006/relationships/hyperlink" Target="https://www.cdc.gov/nchs/pressroom/sosmap/drug_poisoning_mortality/drug_poisoning.htm" TargetMode="External"/><Relationship Id="rId38" Type="http://schemas.openxmlformats.org/officeDocument/2006/relationships/hyperlink" Target="https://www.cdc.gov/drugoverdose/deaths/index.html" TargetMode="External"/><Relationship Id="rId20" Type="http://schemas.openxmlformats.org/officeDocument/2006/relationships/hyperlink" Target="https://drugabusestatistics.org/cost-of-rehab/" TargetMode="External"/><Relationship Id="rId22" Type="http://schemas.openxmlformats.org/officeDocument/2006/relationships/hyperlink" Target="https://doi.org/10.1097/MLR.0000000000000121" TargetMode="External"/><Relationship Id="rId21" Type="http://schemas.openxmlformats.org/officeDocument/2006/relationships/hyperlink" Target="https://drugabusestatistics.org/cost-of-rehab/" TargetMode="External"/><Relationship Id="rId24" Type="http://schemas.openxmlformats.org/officeDocument/2006/relationships/hyperlink" Target="http://www.ncbi.nlm.nih.gov/books/NBK390288/" TargetMode="External"/><Relationship Id="rId23" Type="http://schemas.openxmlformats.org/officeDocument/2006/relationships/hyperlink" Target="https://doi.org/10.1097/MLR.0000000000000121" TargetMode="External"/><Relationship Id="rId26" Type="http://schemas.openxmlformats.org/officeDocument/2006/relationships/hyperlink" Target="https://doi.org/10.18637/jss.v067.i01" TargetMode="External"/><Relationship Id="rId25" Type="http://schemas.openxmlformats.org/officeDocument/2006/relationships/hyperlink" Target="http://www.ncbi.nlm.nih.gov/books/NBK390288/" TargetMode="External"/><Relationship Id="rId28" Type="http://schemas.openxmlformats.org/officeDocument/2006/relationships/hyperlink" Target="https://doi.org/10.1377/hlthaff.2020.00378" TargetMode="External"/><Relationship Id="rId27" Type="http://schemas.openxmlformats.org/officeDocument/2006/relationships/hyperlink" Target="https://doi.org/10.1377/hlthaff.2020.00378" TargetMode="External"/><Relationship Id="rId29" Type="http://schemas.openxmlformats.org/officeDocument/2006/relationships/hyperlink" Target="http://www.cms.gov/Research-Statistics-Data-and-Systems/Statistics-Trends-and-Reports/NationalHealthExpendData/Downloads/resident-state-estimates.zip" TargetMode="External"/><Relationship Id="rId95" Type="http://schemas.openxmlformats.org/officeDocument/2006/relationships/image" Target="media/image2.png"/><Relationship Id="rId94" Type="http://schemas.openxmlformats.org/officeDocument/2006/relationships/hyperlink" Target="https://www.kff.org/other/state-indicator/total-population/?currentTimeframe=2&amp;selectedRows=%7B%22states%22:%7B%22all%22:%7B%7D%7D,%22wrapups%22:%7B%22united-states%22:%7B%7D%7D%7D&amp;sortModel=%7B%22colId%22:%22Location%22,%22sort%22:%22asc%22%7D" TargetMode="External"/><Relationship Id="rId97" Type="http://schemas.openxmlformats.org/officeDocument/2006/relationships/image" Target="media/image4.png"/><Relationship Id="rId96" Type="http://schemas.openxmlformats.org/officeDocument/2006/relationships/image" Target="media/image1.png"/><Relationship Id="rId11" Type="http://schemas.openxmlformats.org/officeDocument/2006/relationships/hyperlink" Target="http://www.icmpe.org/test1/journal/journal.htm" TargetMode="External"/><Relationship Id="rId10" Type="http://schemas.openxmlformats.org/officeDocument/2006/relationships/hyperlink" Target="https://www.sciencedirect.com/journal/journal-of-substance-abuse-treatment" TargetMode="External"/><Relationship Id="rId98"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jpg"/><Relationship Id="rId91" Type="http://schemas.openxmlformats.org/officeDocument/2006/relationships/hyperlink" Target="https://doi.org/10.5539/ijef.v5n11p72" TargetMode="External"/><Relationship Id="rId90" Type="http://schemas.openxmlformats.org/officeDocument/2006/relationships/hyperlink" Target="https://doi.org/10.1016/j.econlet.2007.10.015" TargetMode="External"/><Relationship Id="rId93" Type="http://schemas.openxmlformats.org/officeDocument/2006/relationships/hyperlink" Target="https://www.kff.org/about-state-health-facts/#:~:text=on%20this%20website%3A-,KFF%E2%80%99s%20State%20Health%20Facts,-.%20Data%20Source%3A%20The" TargetMode="External"/><Relationship Id="rId92" Type="http://schemas.openxmlformats.org/officeDocument/2006/relationships/hyperlink" Target="https://doi.org/10.32614/RJ-2021-053" TargetMode="External"/><Relationship Id="rId15" Type="http://schemas.openxmlformats.org/officeDocument/2006/relationships/hyperlink" Target="https://nida.nih.gov/research-topics/trends-statistics/overdose-death-rates" TargetMode="External"/><Relationship Id="rId14" Type="http://schemas.openxmlformats.org/officeDocument/2006/relationships/hyperlink" Target="https://nida.nih.gov/research-topics/trends-statistics/overdose-death-rates" TargetMode="External"/><Relationship Id="rId17" Type="http://schemas.openxmlformats.org/officeDocument/2006/relationships/hyperlink" Target="https://www.hmpgloballearningnetwork.com/site/behavioral/article/addiction-treatment-booming-and-under-regulated" TargetMode="External"/><Relationship Id="rId16" Type="http://schemas.openxmlformats.org/officeDocument/2006/relationships/hyperlink" Target="https://www.hmpgloballearningnetwork.com/site/behavioral/article/addiction-treatment-booming-and-under-regulated" TargetMode="External"/><Relationship Id="rId19" Type="http://schemas.openxmlformats.org/officeDocument/2006/relationships/hyperlink" Target="https://doi.org/10.1001/jamahealthforum.2022.2812" TargetMode="External"/><Relationship Id="rId18" Type="http://schemas.openxmlformats.org/officeDocument/2006/relationships/hyperlink" Target="https://doi.org/10.1001/jamahealthforum.2022.2812" TargetMode="External"/><Relationship Id="rId84" Type="http://schemas.openxmlformats.org/officeDocument/2006/relationships/hyperlink" Target="https://www.psychiatrictimes.com/view/sustaining-investment-in-brain-health-the-dangers-of-information-asymmetry" TargetMode="External"/><Relationship Id="rId83" Type="http://schemas.openxmlformats.org/officeDocument/2006/relationships/hyperlink" Target="https://www.psychiatrictimes.com/view/sustaining-investment-in-brain-health-the-dangers-of-information-asymmetry" TargetMode="External"/><Relationship Id="rId86" Type="http://schemas.openxmlformats.org/officeDocument/2006/relationships/hyperlink" Target="https://doi.org/10.1016/j.dadr.2022.100115" TargetMode="External"/><Relationship Id="rId85" Type="http://schemas.openxmlformats.org/officeDocument/2006/relationships/hyperlink" Target="https://doi.org/10.1016/j.dadr.2022.100115" TargetMode="External"/><Relationship Id="rId88" Type="http://schemas.openxmlformats.org/officeDocument/2006/relationships/hyperlink" Target="https://doi.org/10.1007/s10488-014-0617-6" TargetMode="External"/><Relationship Id="rId87" Type="http://schemas.openxmlformats.org/officeDocument/2006/relationships/hyperlink" Target="https://doi.org/10.1001/jamapsychiatry.2013.2169" TargetMode="External"/><Relationship Id="rId89" Type="http://schemas.openxmlformats.org/officeDocument/2006/relationships/hyperlink" Target="https://doi.org/10.1007/s10488-014-0617-6" TargetMode="External"/><Relationship Id="rId80" Type="http://schemas.openxmlformats.org/officeDocument/2006/relationships/hyperlink" Target="https://doi.org/10.1377/hlthaff.2018.0718" TargetMode="External"/><Relationship Id="rId82" Type="http://schemas.openxmlformats.org/officeDocument/2006/relationships/hyperlink" Target="https://doi.org/10.1037/e569922009-001" TargetMode="External"/><Relationship Id="rId81" Type="http://schemas.openxmlformats.org/officeDocument/2006/relationships/hyperlink" Target="https://doi.org/10.1037/e569922009-0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healthaffairs.org/help-for-authors/journal/new-article-requiremen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aileywellen/sud_treatment_profitstatus" TargetMode="External"/><Relationship Id="rId8" Type="http://schemas.openxmlformats.org/officeDocument/2006/relationships/hyperlink" Target="https://github.com/baileywellen/sud_treatment_profitstatus" TargetMode="External"/><Relationship Id="rId73" Type="http://schemas.openxmlformats.org/officeDocument/2006/relationships/hyperlink" Target="https://www.cbsnews.com/news/drug-treatment-rehab-private-equity-profits/" TargetMode="External"/><Relationship Id="rId72" Type="http://schemas.openxmlformats.org/officeDocument/2006/relationships/hyperlink" Target="https://www.r-project.org/" TargetMode="External"/><Relationship Id="rId75" Type="http://schemas.openxmlformats.org/officeDocument/2006/relationships/hyperlink" Target="https://www.ocregister.com/rehab-riviera/" TargetMode="External"/><Relationship Id="rId74" Type="http://schemas.openxmlformats.org/officeDocument/2006/relationships/hyperlink" Target="https://www.cbsnews.com/news/drug-treatment-rehab-private-equity-profits/" TargetMode="External"/><Relationship Id="rId77" Type="http://schemas.openxmlformats.org/officeDocument/2006/relationships/hyperlink" Target="https://doi.org/10.1002/hec.3482" TargetMode="External"/><Relationship Id="rId76" Type="http://schemas.openxmlformats.org/officeDocument/2006/relationships/hyperlink" Target="https://www.ocregister.com/rehab-riviera/" TargetMode="External"/><Relationship Id="rId79" Type="http://schemas.openxmlformats.org/officeDocument/2006/relationships/hyperlink" Target="https://doi.org/10.1377/hlthaff.2018.0718" TargetMode="External"/><Relationship Id="rId78" Type="http://schemas.openxmlformats.org/officeDocument/2006/relationships/hyperlink" Target="https://doi.org/10.1002/hec.3482" TargetMode="External"/><Relationship Id="rId71" Type="http://schemas.openxmlformats.org/officeDocument/2006/relationships/hyperlink" Target="https://doi.org/10.1001/jamanetworkopen.2021.0242" TargetMode="External"/><Relationship Id="rId70" Type="http://schemas.openxmlformats.org/officeDocument/2006/relationships/hyperlink" Target="https://doi.org/10.1001/jamanetworkopen.2021.0242" TargetMode="External"/><Relationship Id="rId62" Type="http://schemas.openxmlformats.org/officeDocument/2006/relationships/hyperlink" Target="https://doi.org/10.1016/j.jsat.2008.06.009" TargetMode="External"/><Relationship Id="rId61" Type="http://schemas.openxmlformats.org/officeDocument/2006/relationships/hyperlink" Target="https://doi.org/10.1377/hlthaff.2018.05162" TargetMode="External"/><Relationship Id="rId64" Type="http://schemas.openxmlformats.org/officeDocument/2006/relationships/hyperlink" Target="https://doi.org/10.1111/j.1475-6773.2005.00431.x" TargetMode="External"/><Relationship Id="rId63" Type="http://schemas.openxmlformats.org/officeDocument/2006/relationships/hyperlink" Target="https://doi.org/10.1016/j.jsat.2008.06.009" TargetMode="External"/><Relationship Id="rId66" Type="http://schemas.openxmlformats.org/officeDocument/2006/relationships/hyperlink" Target="https://www.cdc.gov/opioids/data/analysis-resources.html" TargetMode="External"/><Relationship Id="rId65" Type="http://schemas.openxmlformats.org/officeDocument/2006/relationships/hyperlink" Target="https://doi.org/10.1111/j.1475-6773.2005.00431.x" TargetMode="External"/><Relationship Id="rId68" Type="http://schemas.openxmlformats.org/officeDocument/2006/relationships/hyperlink" Target="https://doi.org/10.1016/j.jsat.2020.108255" TargetMode="External"/><Relationship Id="rId67" Type="http://schemas.openxmlformats.org/officeDocument/2006/relationships/hyperlink" Target="https://www.cdc.gov/opioids/data/analysis-resources.html" TargetMode="External"/><Relationship Id="rId60" Type="http://schemas.openxmlformats.org/officeDocument/2006/relationships/hyperlink" Target="https://doi.org/10.1111/j.1360-0443.2005.01227.x" TargetMode="External"/><Relationship Id="rId69" Type="http://schemas.openxmlformats.org/officeDocument/2006/relationships/hyperlink" Target="https://doi.org/10.1016/j.jsat.2020.108255" TargetMode="External"/><Relationship Id="rId51" Type="http://schemas.openxmlformats.org/officeDocument/2006/relationships/hyperlink" Target="https://doi.org/10.1016/j.pmedr.2020.101184" TargetMode="External"/><Relationship Id="rId50" Type="http://schemas.openxmlformats.org/officeDocument/2006/relationships/hyperlink" Target="https://doi.org/10.1007/BF02354191" TargetMode="External"/><Relationship Id="rId53" Type="http://schemas.openxmlformats.org/officeDocument/2006/relationships/hyperlink" Target="https://doi.org/10.1086/699842" TargetMode="External"/><Relationship Id="rId52" Type="http://schemas.openxmlformats.org/officeDocument/2006/relationships/hyperlink" Target="https://doi.org/10.1016/j.pmedr.2020.101184" TargetMode="External"/><Relationship Id="rId55" Type="http://schemas.openxmlformats.org/officeDocument/2006/relationships/hyperlink" Target="https://www.npr.org/2021/02/15/963700736/as-addiction-deaths-surge-profit-driven-rehab-industry-faces-severe-ethical-cris" TargetMode="External"/><Relationship Id="rId54" Type="http://schemas.openxmlformats.org/officeDocument/2006/relationships/hyperlink" Target="https://doi.org/10.1086/699842" TargetMode="External"/><Relationship Id="rId57" Type="http://schemas.openxmlformats.org/officeDocument/2006/relationships/hyperlink" Target="https://doi.org/10.1056/NEJMsa022615" TargetMode="External"/><Relationship Id="rId56" Type="http://schemas.openxmlformats.org/officeDocument/2006/relationships/hyperlink" Target="https://www.npr.org/2021/02/15/963700736/as-addiction-deaths-surge-profit-driven-rehab-industry-faces-severe-ethical-cris" TargetMode="External"/><Relationship Id="rId59" Type="http://schemas.openxmlformats.org/officeDocument/2006/relationships/hyperlink" Target="https://doi.org/10.1016/j.jhealeco.2018.06.004" TargetMode="External"/><Relationship Id="rId58" Type="http://schemas.openxmlformats.org/officeDocument/2006/relationships/hyperlink" Target="https://doi.org/10.1056/NEJMsa02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