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8B4" w:rsidRPr="0024230B" w:rsidRDefault="001A5583">
      <w:pPr>
        <w:spacing w:line="360" w:lineRule="auto"/>
        <w:jc w:val="center"/>
        <w:rPr>
          <w:rFonts w:ascii="仿宋" w:eastAsia="仿宋" w:hAnsi="仿宋"/>
          <w:b/>
          <w:bCs/>
          <w:sz w:val="32"/>
          <w:szCs w:val="32"/>
        </w:rPr>
      </w:pPr>
      <w:r w:rsidRPr="0024230B">
        <w:rPr>
          <w:rFonts w:ascii="仿宋" w:eastAsia="仿宋" w:hAnsi="仿宋" w:hint="eastAsia"/>
          <w:b/>
          <w:bCs/>
          <w:sz w:val="32"/>
          <w:szCs w:val="32"/>
        </w:rPr>
        <w:t>202</w:t>
      </w:r>
      <w:r w:rsidR="002E6107">
        <w:rPr>
          <w:rFonts w:ascii="仿宋" w:eastAsia="仿宋" w:hAnsi="仿宋"/>
          <w:b/>
          <w:bCs/>
          <w:sz w:val="32"/>
          <w:szCs w:val="32"/>
        </w:rPr>
        <w:t>6</w:t>
      </w:r>
      <w:bookmarkStart w:id="0" w:name="_GoBack"/>
      <w:bookmarkEnd w:id="0"/>
      <w:r w:rsidRPr="0024230B">
        <w:rPr>
          <w:rFonts w:ascii="仿宋" w:eastAsia="仿宋" w:hAnsi="仿宋" w:hint="eastAsia"/>
          <w:b/>
          <w:bCs/>
          <w:sz w:val="32"/>
          <w:szCs w:val="32"/>
        </w:rPr>
        <w:t>年度业务研讨会资料</w:t>
      </w:r>
    </w:p>
    <w:p w:rsidR="00D46D64" w:rsidRPr="0024230B" w:rsidRDefault="00D46D64">
      <w:pPr>
        <w:spacing w:line="360" w:lineRule="auto"/>
        <w:jc w:val="center"/>
        <w:rPr>
          <w:rFonts w:ascii="仿宋" w:eastAsia="仿宋" w:hAnsi="仿宋"/>
          <w:b/>
          <w:bCs/>
          <w:sz w:val="24"/>
          <w:szCs w:val="28"/>
        </w:rPr>
      </w:pPr>
    </w:p>
    <w:p w:rsidR="00D46D64" w:rsidRPr="0024230B" w:rsidRDefault="001A5583">
      <w:pPr>
        <w:pStyle w:val="1"/>
        <w:spacing w:before="0" w:after="0" w:line="360" w:lineRule="auto"/>
        <w:ind w:firstLineChars="200" w:firstLine="438"/>
        <w:jc w:val="left"/>
        <w:rPr>
          <w:rStyle w:val="ab"/>
          <w:rFonts w:ascii="仿宋" w:eastAsia="仿宋" w:hAnsi="仿宋"/>
          <w:bCs w:val="0"/>
          <w:color w:val="auto"/>
          <w:spacing w:val="8"/>
          <w:sz w:val="21"/>
          <w:szCs w:val="21"/>
        </w:rPr>
      </w:pPr>
      <w:bookmarkStart w:id="1" w:name="_Toc217984520"/>
      <w:r w:rsidRPr="0024230B">
        <w:rPr>
          <w:rStyle w:val="ab"/>
          <w:rFonts w:ascii="仿宋" w:eastAsia="仿宋" w:hAnsi="仿宋" w:hint="eastAsia"/>
          <w:bCs w:val="0"/>
          <w:color w:val="auto"/>
          <w:spacing w:val="8"/>
          <w:sz w:val="21"/>
          <w:szCs w:val="21"/>
        </w:rPr>
        <w:t>审计3</w:t>
      </w:r>
      <w:r w:rsidRPr="0024230B">
        <w:rPr>
          <w:rStyle w:val="ab"/>
          <w:rFonts w:ascii="仿宋" w:eastAsia="仿宋" w:hAnsi="仿宋"/>
          <w:bCs w:val="0"/>
          <w:color w:val="auto"/>
          <w:spacing w:val="8"/>
          <w:sz w:val="21"/>
          <w:szCs w:val="21"/>
        </w:rPr>
        <w:t>2</w:t>
      </w:r>
      <w:r w:rsidRPr="0024230B">
        <w:rPr>
          <w:rStyle w:val="ab"/>
          <w:rFonts w:ascii="仿宋" w:eastAsia="仿宋" w:hAnsi="仿宋" w:hint="eastAsia"/>
          <w:bCs w:val="0"/>
          <w:color w:val="auto"/>
          <w:spacing w:val="8"/>
          <w:sz w:val="21"/>
          <w:szCs w:val="21"/>
        </w:rPr>
        <w:t>部</w:t>
      </w:r>
      <w:bookmarkStart w:id="2" w:name="_Toc217984521"/>
      <w:bookmarkEnd w:id="1"/>
    </w:p>
    <w:p w:rsidR="009908B4" w:rsidRPr="0024230B" w:rsidRDefault="001A5583">
      <w:pPr>
        <w:pStyle w:val="1"/>
        <w:spacing w:before="0" w:after="0" w:line="360" w:lineRule="auto"/>
        <w:ind w:firstLineChars="200" w:firstLine="438"/>
        <w:jc w:val="left"/>
        <w:rPr>
          <w:rFonts w:ascii="仿宋" w:eastAsia="仿宋" w:hAnsi="仿宋"/>
          <w:b/>
          <w:color w:val="auto"/>
          <w:sz w:val="21"/>
          <w:szCs w:val="21"/>
        </w:rPr>
      </w:pPr>
      <w:r w:rsidRPr="0024230B">
        <w:rPr>
          <w:rStyle w:val="ab"/>
          <w:rFonts w:ascii="仿宋" w:eastAsia="仿宋" w:hAnsi="仿宋" w:hint="eastAsia"/>
          <w:bCs w:val="0"/>
          <w:color w:val="auto"/>
          <w:spacing w:val="8"/>
          <w:sz w:val="21"/>
          <w:szCs w:val="21"/>
        </w:rPr>
        <w:t>案例1：</w:t>
      </w:r>
      <w:bookmarkEnd w:id="2"/>
      <w:r w:rsidRPr="0024230B">
        <w:rPr>
          <w:rStyle w:val="ab"/>
          <w:rFonts w:ascii="仿宋" w:eastAsia="仿宋" w:hAnsi="仿宋" w:hint="eastAsia"/>
          <w:bCs w:val="0"/>
          <w:color w:val="auto"/>
          <w:spacing w:val="8"/>
          <w:sz w:val="21"/>
          <w:szCs w:val="21"/>
        </w:rPr>
        <w:t>A公司之子公司C吸收合并另外一个子公司D，A公司直接持有子公司D的长期股权投资转为持有C公司投资如何确认（主讲</w:t>
      </w:r>
      <w:r w:rsidRPr="0024230B">
        <w:rPr>
          <w:rStyle w:val="ab"/>
          <w:rFonts w:ascii="仿宋" w:eastAsia="仿宋" w:hAnsi="仿宋" w:cstheme="minorBidi" w:hint="eastAsia"/>
          <w:bCs w:val="0"/>
          <w:color w:val="auto"/>
          <w:spacing w:val="8"/>
          <w:sz w:val="21"/>
          <w:szCs w:val="21"/>
        </w:rPr>
        <w:t>人：</w:t>
      </w:r>
      <w:proofErr w:type="gramStart"/>
      <w:r w:rsidRPr="0024230B">
        <w:rPr>
          <w:rStyle w:val="ab"/>
          <w:rFonts w:ascii="仿宋" w:eastAsia="仿宋" w:hAnsi="仿宋" w:cstheme="minorBidi" w:hint="eastAsia"/>
          <w:bCs w:val="0"/>
          <w:color w:val="auto"/>
          <w:spacing w:val="8"/>
          <w:sz w:val="21"/>
          <w:szCs w:val="21"/>
        </w:rPr>
        <w:t>代洪勇</w:t>
      </w:r>
      <w:proofErr w:type="gramEnd"/>
      <w:r w:rsidRPr="0024230B">
        <w:rPr>
          <w:rStyle w:val="ab"/>
          <w:rFonts w:ascii="仿宋" w:eastAsia="仿宋" w:hAnsi="仿宋" w:hint="eastAsia"/>
          <w:bCs w:val="0"/>
          <w:color w:val="auto"/>
          <w:spacing w:val="8"/>
          <w:sz w:val="21"/>
          <w:szCs w:val="21"/>
        </w:rPr>
        <w:t>）</w:t>
      </w:r>
    </w:p>
    <w:p w:rsidR="009908B4" w:rsidRPr="0024230B" w:rsidRDefault="001A5583">
      <w:pPr>
        <w:pStyle w:val="3"/>
        <w:spacing w:before="0" w:after="0" w:line="360" w:lineRule="auto"/>
        <w:ind w:firstLineChars="200" w:firstLine="422"/>
        <w:jc w:val="left"/>
        <w:rPr>
          <w:rFonts w:ascii="仿宋" w:eastAsia="仿宋" w:hAnsi="仿宋"/>
          <w:b/>
          <w:bCs/>
          <w:color w:val="auto"/>
          <w:sz w:val="24"/>
          <w:szCs w:val="28"/>
        </w:rPr>
      </w:pPr>
      <w:bookmarkStart w:id="3" w:name="_Toc217984522"/>
      <w:r w:rsidRPr="0024230B">
        <w:rPr>
          <w:rFonts w:ascii="仿宋" w:eastAsia="仿宋" w:hAnsi="仿宋" w:hint="eastAsia"/>
          <w:b/>
          <w:color w:val="auto"/>
          <w:sz w:val="21"/>
          <w:szCs w:val="21"/>
        </w:rPr>
        <w:t>一、案例背景</w:t>
      </w:r>
      <w:bookmarkEnd w:id="3"/>
    </w:p>
    <w:p w:rsidR="009908B4" w:rsidRPr="0024230B" w:rsidRDefault="001A5583">
      <w:pPr>
        <w:spacing w:line="360" w:lineRule="auto"/>
        <w:ind w:firstLineChars="200" w:firstLine="420"/>
        <w:rPr>
          <w:rFonts w:ascii="仿宋" w:eastAsia="仿宋" w:hAnsi="仿宋" w:cs="Times New Roman"/>
          <w:bCs/>
          <w:szCs w:val="21"/>
        </w:rPr>
      </w:pPr>
      <w:bookmarkStart w:id="4" w:name="OLE_LINK10"/>
      <w:r w:rsidRPr="0024230B">
        <w:rPr>
          <w:rFonts w:ascii="仿宋" w:eastAsia="仿宋" w:hAnsi="仿宋" w:cs="Times New Roman" w:hint="eastAsia"/>
          <w:bCs/>
          <w:szCs w:val="21"/>
        </w:rPr>
        <w:t>1、参与主体</w:t>
      </w:r>
    </w:p>
    <w:p w:rsidR="009908B4" w:rsidRPr="0024230B" w:rsidRDefault="001A5583">
      <w:pPr>
        <w:spacing w:line="36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24230B">
        <w:rPr>
          <w:rFonts w:ascii="仿宋" w:eastAsia="仿宋" w:hAnsi="仿宋" w:cs="Times New Roman" w:hint="eastAsia"/>
          <w:bCs/>
          <w:szCs w:val="21"/>
        </w:rPr>
        <w:t>A公司</w:t>
      </w:r>
      <w:bookmarkEnd w:id="4"/>
      <w:r w:rsidRPr="0024230B">
        <w:rPr>
          <w:rFonts w:ascii="仿宋" w:eastAsia="仿宋" w:hAnsi="仿宋" w:cs="Times New Roman" w:hint="eastAsia"/>
          <w:bCs/>
          <w:szCs w:val="21"/>
        </w:rPr>
        <w:t>：</w:t>
      </w:r>
      <w:r w:rsidRPr="0024230B">
        <w:rPr>
          <w:rFonts w:ascii="仿宋" w:eastAsia="仿宋" w:hAnsi="仿宋" w:cs="Times New Roman" w:hint="eastAsia"/>
          <w:szCs w:val="21"/>
        </w:rPr>
        <w:t>集团母公司，直接持有D公司少数股份，通过子公司B间接持有D公司多数股份，控制D公司</w:t>
      </w:r>
      <w:r w:rsidRPr="0024230B">
        <w:rPr>
          <w:rFonts w:ascii="仿宋" w:eastAsia="仿宋" w:hAnsi="仿宋" w:cs="Times New Roman"/>
          <w:szCs w:val="21"/>
        </w:rPr>
        <w:t>；</w:t>
      </w:r>
    </w:p>
    <w:p w:rsidR="009908B4" w:rsidRPr="0024230B" w:rsidRDefault="001A5583">
      <w:pPr>
        <w:spacing w:line="36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24230B">
        <w:rPr>
          <w:rFonts w:ascii="仿宋" w:eastAsia="仿宋" w:hAnsi="仿宋" w:cs="Times New Roman" w:hint="eastAsia"/>
          <w:bCs/>
          <w:szCs w:val="21"/>
        </w:rPr>
        <w:t>C公司：A公司之子公司，吸收合并D公司，主营封装和测试业务</w:t>
      </w:r>
      <w:r w:rsidRPr="0024230B">
        <w:rPr>
          <w:rFonts w:ascii="仿宋" w:eastAsia="仿宋" w:hAnsi="仿宋" w:cs="Times New Roman"/>
          <w:szCs w:val="21"/>
        </w:rPr>
        <w:t>；</w:t>
      </w:r>
    </w:p>
    <w:p w:rsidR="009908B4" w:rsidRPr="0024230B" w:rsidRDefault="001A5583">
      <w:pPr>
        <w:spacing w:line="36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24230B">
        <w:rPr>
          <w:rFonts w:ascii="仿宋" w:eastAsia="仿宋" w:hAnsi="仿宋" w:cs="Times New Roman" w:hint="eastAsia"/>
          <w:szCs w:val="21"/>
        </w:rPr>
        <w:t>D公司：A公司之孙公司，B公司的子公司，被C公司吸收合并的对象，主营研发与小批量封装测试；</w:t>
      </w:r>
    </w:p>
    <w:p w:rsidR="009908B4" w:rsidRPr="0024230B" w:rsidRDefault="001A5583">
      <w:pPr>
        <w:spacing w:line="36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24230B">
        <w:rPr>
          <w:rFonts w:ascii="仿宋" w:eastAsia="仿宋" w:hAnsi="仿宋" w:cs="Times New Roman" w:hint="eastAsia"/>
          <w:bCs/>
          <w:szCs w:val="21"/>
        </w:rPr>
        <w:t>B公司：</w:t>
      </w:r>
      <w:r w:rsidRPr="0024230B">
        <w:rPr>
          <w:rFonts w:ascii="仿宋" w:eastAsia="仿宋" w:hAnsi="仿宋" w:cs="Times New Roman" w:hint="eastAsia"/>
          <w:szCs w:val="21"/>
        </w:rPr>
        <w:t>A公司之子公司；</w:t>
      </w:r>
    </w:p>
    <w:p w:rsidR="009908B4" w:rsidRPr="0024230B" w:rsidRDefault="001A5583">
      <w:pPr>
        <w:spacing w:line="360" w:lineRule="auto"/>
        <w:ind w:firstLineChars="200" w:firstLine="420"/>
        <w:rPr>
          <w:rFonts w:ascii="仿宋" w:eastAsia="仿宋" w:hAnsi="仿宋" w:cs="Times New Roman"/>
          <w:bCs/>
          <w:szCs w:val="21"/>
        </w:rPr>
      </w:pPr>
      <w:r w:rsidRPr="0024230B">
        <w:rPr>
          <w:rFonts w:ascii="仿宋" w:eastAsia="仿宋" w:hAnsi="仿宋" w:cs="Times New Roman" w:hint="eastAsia"/>
          <w:bCs/>
          <w:szCs w:val="21"/>
        </w:rPr>
        <w:t>2、</w:t>
      </w:r>
      <w:r w:rsidRPr="0024230B">
        <w:rPr>
          <w:rFonts w:ascii="仿宋" w:eastAsia="仿宋" w:hAnsi="仿宋" w:cs="Times New Roman"/>
          <w:bCs/>
          <w:szCs w:val="21"/>
        </w:rPr>
        <w:t>业务介绍</w:t>
      </w:r>
    </w:p>
    <w:p w:rsidR="009908B4" w:rsidRPr="0024230B" w:rsidRDefault="001A5583">
      <w:pPr>
        <w:spacing w:line="360" w:lineRule="auto"/>
        <w:rPr>
          <w:rFonts w:ascii="仿宋" w:eastAsia="仿宋" w:hAnsi="仿宋"/>
        </w:rPr>
      </w:pPr>
      <w:r w:rsidRPr="0024230B">
        <w:rPr>
          <w:rFonts w:ascii="仿宋" w:eastAsia="仿宋" w:hAnsi="仿宋" w:hint="eastAsia"/>
        </w:rPr>
        <w:t>如下图所示，A公司旗下子公司C对子公司D实施吸收合并。该重组操作前后的股权结构变动如下：</w:t>
      </w:r>
    </w:p>
    <w:p w:rsidR="009908B4" w:rsidRPr="0024230B" w:rsidRDefault="001A5583">
      <w:pPr>
        <w:spacing w:line="360" w:lineRule="auto"/>
        <w:rPr>
          <w:rFonts w:ascii="仿宋" w:eastAsia="仿宋" w:hAnsi="仿宋"/>
        </w:rPr>
      </w:pPr>
      <w:r w:rsidRPr="0024230B">
        <w:rPr>
          <w:rFonts w:ascii="仿宋" w:eastAsia="仿宋" w:hAnsi="仿宋" w:hint="eastAsia"/>
        </w:rPr>
        <w:t>1、合并前，B公司持有D公司83.33%股权，按成本法核算并纳入合并范围；合并后，B公司持有C公司9%股份，因具有重大影响而改按权益法核算。</w:t>
      </w:r>
    </w:p>
    <w:p w:rsidR="009908B4" w:rsidRPr="0024230B" w:rsidRDefault="001A5583">
      <w:pPr>
        <w:spacing w:line="360" w:lineRule="auto"/>
        <w:rPr>
          <w:rFonts w:ascii="仿宋" w:eastAsia="仿宋" w:hAnsi="仿宋"/>
        </w:rPr>
      </w:pPr>
      <w:r w:rsidRPr="0024230B">
        <w:rPr>
          <w:rFonts w:ascii="仿宋" w:eastAsia="仿宋" w:hAnsi="仿宋" w:hint="eastAsia"/>
        </w:rPr>
        <w:t>2、合并前，A公司持有D公司16.67%股份（通过C公司间接持有并控制D公司），按成本法核算；合并后，A公司持有C公司57%股份，继续纳入合并范围。</w:t>
      </w:r>
    </w:p>
    <w:p w:rsidR="009908B4" w:rsidRPr="0024230B" w:rsidRDefault="001A5583">
      <w:pPr>
        <w:spacing w:line="360" w:lineRule="auto"/>
        <w:rPr>
          <w:rFonts w:ascii="仿宋" w:eastAsia="仿宋" w:hAnsi="仿宋"/>
        </w:rPr>
      </w:pPr>
      <w:r w:rsidRPr="0024230B">
        <w:rPr>
          <w:rFonts w:ascii="仿宋" w:eastAsia="仿宋" w:hAnsi="仿宋" w:hint="eastAsia"/>
        </w:rPr>
        <w:t>此外，D公司与C公司均构成业务，C公司规模远大于D公司。由于吸收合并涉及外部少数股东，各项定价均基于审计评估结果并经股东协商一致，换股价格公允。</w:t>
      </w:r>
    </w:p>
    <w:p w:rsidR="00D46D64" w:rsidRPr="0024230B" w:rsidRDefault="00D46D64">
      <w:pPr>
        <w:spacing w:line="360" w:lineRule="auto"/>
        <w:rPr>
          <w:rFonts w:ascii="仿宋" w:eastAsia="仿宋" w:hAnsi="仿宋"/>
        </w:rPr>
      </w:pPr>
      <w:r w:rsidRPr="0024230B">
        <w:rPr>
          <w:rFonts w:ascii="仿宋" w:eastAsia="仿宋" w:hAnsi="仿宋"/>
          <w:noProof/>
        </w:rPr>
        <w:drawing>
          <wp:inline distT="0" distB="0" distL="0" distR="0" wp14:anchorId="62F09EF1" wp14:editId="440E7E95">
            <wp:extent cx="5212715" cy="1816925"/>
            <wp:effectExtent l="0" t="0" r="6985" b="0"/>
            <wp:docPr id="409011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183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9296" cy="184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B4" w:rsidRPr="0024230B" w:rsidRDefault="001A5583" w:rsidP="00D46D64">
      <w:pPr>
        <w:pStyle w:val="3"/>
        <w:spacing w:before="0" w:after="0" w:line="360" w:lineRule="auto"/>
        <w:ind w:leftChars="200" w:left="420"/>
        <w:jc w:val="left"/>
        <w:rPr>
          <w:rFonts w:ascii="仿宋" w:eastAsia="仿宋" w:hAnsi="仿宋"/>
          <w:b/>
          <w:color w:val="auto"/>
          <w:sz w:val="21"/>
          <w:szCs w:val="21"/>
        </w:rPr>
      </w:pPr>
      <w:bookmarkStart w:id="5" w:name="_Toc217984523"/>
      <w:r w:rsidRPr="0024230B">
        <w:rPr>
          <w:rFonts w:ascii="仿宋" w:eastAsia="仿宋" w:hAnsi="仿宋" w:hint="eastAsia"/>
          <w:b/>
          <w:color w:val="auto"/>
          <w:sz w:val="21"/>
          <w:szCs w:val="21"/>
        </w:rPr>
        <w:lastRenderedPageBreak/>
        <w:t>二、问题</w:t>
      </w:r>
      <w:bookmarkEnd w:id="5"/>
    </w:p>
    <w:p w:rsidR="009908B4" w:rsidRPr="0024230B" w:rsidRDefault="001A5583">
      <w:pPr>
        <w:spacing w:line="36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24230B">
        <w:rPr>
          <w:rFonts w:ascii="仿宋" w:eastAsia="仿宋" w:hAnsi="仿宋" w:hint="eastAsia"/>
        </w:rPr>
        <w:t>吸收合并完成后，原A公司持有D公司的长期股权投资转为对C公司长期股权投资的部分，其入账价值应如何确定（公允价值还是账面价值）？是否产生投资收益</w:t>
      </w:r>
      <w:r w:rsidRPr="0024230B">
        <w:rPr>
          <w:rFonts w:ascii="仿宋" w:eastAsia="仿宋" w:hAnsi="仿宋" w:cs="Times New Roman" w:hint="eastAsia"/>
          <w:szCs w:val="21"/>
        </w:rPr>
        <w:t>？</w:t>
      </w:r>
    </w:p>
    <w:p w:rsidR="009908B4" w:rsidRPr="0024230B" w:rsidRDefault="001A5583">
      <w:pPr>
        <w:pStyle w:val="3"/>
        <w:spacing w:before="0" w:after="0" w:line="360" w:lineRule="auto"/>
        <w:ind w:firstLineChars="200" w:firstLine="422"/>
        <w:jc w:val="left"/>
        <w:rPr>
          <w:rFonts w:ascii="仿宋" w:eastAsia="仿宋" w:hAnsi="仿宋" w:cs="Times New Roman"/>
          <w:b/>
          <w:sz w:val="21"/>
          <w:szCs w:val="21"/>
        </w:rPr>
      </w:pPr>
      <w:r w:rsidRPr="0024230B">
        <w:rPr>
          <w:rFonts w:ascii="仿宋" w:eastAsia="仿宋" w:hAnsi="仿宋" w:hint="eastAsia"/>
          <w:b/>
          <w:color w:val="auto"/>
          <w:sz w:val="21"/>
          <w:szCs w:val="21"/>
        </w:rPr>
        <w:t>三、项目组观点</w:t>
      </w:r>
    </w:p>
    <w:p w:rsidR="009908B4" w:rsidRPr="0024230B" w:rsidRDefault="001A5583">
      <w:pPr>
        <w:spacing w:line="360" w:lineRule="auto"/>
        <w:rPr>
          <w:rFonts w:ascii="仿宋" w:eastAsia="仿宋" w:hAnsi="仿宋"/>
          <w:b/>
          <w:bCs/>
        </w:rPr>
      </w:pPr>
      <w:bookmarkStart w:id="6" w:name="_Toc217984537"/>
      <w:r w:rsidRPr="0024230B">
        <w:rPr>
          <w:rFonts w:ascii="仿宋" w:eastAsia="仿宋" w:hAnsi="仿宋" w:hint="eastAsia"/>
        </w:rPr>
        <w:t>根据《企业会计准则第2号——长期股权投资》，通过</w:t>
      </w:r>
      <w:r w:rsidRPr="0024230B">
        <w:rPr>
          <w:rFonts w:ascii="仿宋" w:eastAsia="仿宋" w:hAnsi="仿宋" w:hint="eastAsia"/>
          <w:b/>
          <w:bCs/>
        </w:rPr>
        <w:t>非货币性资产交换</w:t>
      </w:r>
      <w:r w:rsidRPr="0024230B">
        <w:rPr>
          <w:rFonts w:ascii="仿宋" w:eastAsia="仿宋" w:hAnsi="仿宋" w:hint="eastAsia"/>
        </w:rPr>
        <w:t>取得的长期股权投资，其初始投资成本应当按照《企业会计准则第7号——非货币性资产交换》的相关规定确定。非货币性资产交换是指企业间主要以固定资产、无形资产及长期股权投资等非货币性资产进行的交换。</w:t>
      </w:r>
      <w:r w:rsidRPr="0024230B">
        <w:rPr>
          <w:rFonts w:ascii="仿宋" w:eastAsia="仿宋" w:hAnsi="仿宋" w:hint="eastAsia"/>
          <w:b/>
          <w:bCs/>
        </w:rPr>
        <w:t>若交换同时满足“具有商业实质</w:t>
      </w:r>
      <w:r w:rsidRPr="0024230B">
        <w:rPr>
          <w:rFonts w:ascii="仿宋" w:eastAsia="仿宋" w:hAnsi="仿宋" w:hint="eastAsia"/>
        </w:rPr>
        <w:t>”且“换入或换出资产的公允价值能够可靠计量</w:t>
      </w:r>
      <w:r w:rsidRPr="0024230B">
        <w:rPr>
          <w:rFonts w:ascii="仿宋" w:eastAsia="仿宋" w:hAnsi="仿宋" w:hint="eastAsia"/>
          <w:b/>
          <w:bCs/>
        </w:rPr>
        <w:t>”这两个条件，应当以公允价值为基础计量；否则，应当以账面价值为基础计量。</w:t>
      </w:r>
    </w:p>
    <w:p w:rsidR="009908B4" w:rsidRPr="0024230B" w:rsidRDefault="001A5583">
      <w:pPr>
        <w:spacing w:line="360" w:lineRule="auto"/>
        <w:rPr>
          <w:rFonts w:ascii="仿宋" w:eastAsia="仿宋" w:hAnsi="仿宋"/>
          <w:b/>
          <w:bCs/>
        </w:rPr>
      </w:pPr>
      <w:r w:rsidRPr="0024230B">
        <w:rPr>
          <w:rFonts w:ascii="仿宋" w:eastAsia="仿宋" w:hAnsi="仿宋" w:hint="eastAsia"/>
        </w:rPr>
        <w:t>商业实质的判断基准在于：</w:t>
      </w:r>
      <w:r w:rsidRPr="0024230B">
        <w:rPr>
          <w:rFonts w:ascii="仿宋" w:eastAsia="仿宋" w:hAnsi="仿宋" w:hint="eastAsia"/>
          <w:b/>
          <w:bCs/>
        </w:rPr>
        <w:t>换入与换出资产的未来现金流量在风险、时间分布或金额方面存在显著差异，或其预计未来现金流量现值之差相对于公允价值而言具有重大性。</w:t>
      </w:r>
    </w:p>
    <w:p w:rsidR="009908B4" w:rsidRPr="0024230B" w:rsidRDefault="001A5583">
      <w:pPr>
        <w:spacing w:line="360" w:lineRule="auto"/>
        <w:rPr>
          <w:rFonts w:ascii="仿宋" w:eastAsia="仿宋" w:hAnsi="仿宋"/>
        </w:rPr>
      </w:pPr>
      <w:r w:rsidRPr="0024230B">
        <w:rPr>
          <w:rFonts w:ascii="仿宋" w:eastAsia="仿宋" w:hAnsi="仿宋" w:hint="eastAsia"/>
        </w:rPr>
        <w:t>在A公司对D公司的长期股权投资转为对C公司的长期股权投资后，A公司对C公司的控制权性质未发生变化，增加的长期股权投资应按成本法核算。关于定价基准的论证如下：</w:t>
      </w:r>
    </w:p>
    <w:p w:rsidR="009908B4" w:rsidRPr="0024230B" w:rsidRDefault="001A5583">
      <w:pPr>
        <w:spacing w:line="360" w:lineRule="auto"/>
        <w:rPr>
          <w:rFonts w:ascii="仿宋" w:eastAsia="仿宋" w:hAnsi="仿宋"/>
          <w:b/>
          <w:bCs/>
        </w:rPr>
      </w:pPr>
      <w:r w:rsidRPr="0024230B">
        <w:rPr>
          <w:rFonts w:ascii="仿宋" w:eastAsia="仿宋" w:hAnsi="仿宋" w:hint="eastAsia"/>
          <w:b/>
          <w:bCs/>
        </w:rPr>
        <w:t>基于账面价值计量。理由在于：</w:t>
      </w:r>
      <w:r w:rsidRPr="0024230B">
        <w:rPr>
          <w:rFonts w:ascii="仿宋" w:eastAsia="仿宋" w:hAnsi="仿宋" w:hint="eastAsia"/>
        </w:rPr>
        <w:t>吸收合并前后，C公司与D公司均处于A公司的合并范围内，且本次合并本质上属于同</w:t>
      </w:r>
      <w:proofErr w:type="gramStart"/>
      <w:r w:rsidRPr="0024230B">
        <w:rPr>
          <w:rFonts w:ascii="仿宋" w:eastAsia="仿宋" w:hAnsi="仿宋" w:hint="eastAsia"/>
        </w:rPr>
        <w:t>一控制</w:t>
      </w:r>
      <w:proofErr w:type="gramEnd"/>
      <w:r w:rsidRPr="0024230B">
        <w:rPr>
          <w:rFonts w:ascii="仿宋" w:eastAsia="仿宋" w:hAnsi="仿宋" w:hint="eastAsia"/>
        </w:rPr>
        <w:t>下的内部重组。A公司持有的原对D公司投资与新持有的对C公司投资，在</w:t>
      </w:r>
      <w:r w:rsidRPr="0024230B">
        <w:rPr>
          <w:rFonts w:ascii="仿宋" w:eastAsia="仿宋" w:hAnsi="仿宋" w:hint="eastAsia"/>
          <w:b/>
          <w:bCs/>
        </w:rPr>
        <w:t>未来现金流量的风险、时间分布及金额方面未发生实质性改变，不具备商业实质。因此，应按原账面价值结转，不确认处置损益。</w:t>
      </w:r>
    </w:p>
    <w:p w:rsidR="009908B4" w:rsidRPr="0024230B" w:rsidRDefault="001A5583">
      <w:pPr>
        <w:pStyle w:val="3"/>
        <w:spacing w:before="0" w:after="0" w:line="360" w:lineRule="auto"/>
        <w:ind w:firstLineChars="200" w:firstLine="422"/>
        <w:jc w:val="left"/>
        <w:rPr>
          <w:rFonts w:ascii="仿宋" w:eastAsia="仿宋" w:hAnsi="仿宋"/>
          <w:b/>
          <w:color w:val="auto"/>
          <w:sz w:val="21"/>
          <w:szCs w:val="21"/>
        </w:rPr>
      </w:pPr>
      <w:r w:rsidRPr="0024230B">
        <w:rPr>
          <w:rFonts w:ascii="仿宋" w:eastAsia="仿宋" w:hAnsi="仿宋" w:hint="eastAsia"/>
          <w:b/>
          <w:color w:val="auto"/>
          <w:sz w:val="21"/>
          <w:szCs w:val="21"/>
        </w:rPr>
        <w:t>四、案例解析</w:t>
      </w:r>
      <w:bookmarkEnd w:id="6"/>
      <w:r w:rsidRPr="0024230B">
        <w:rPr>
          <w:rFonts w:ascii="仿宋" w:eastAsia="仿宋" w:hAnsi="仿宋" w:hint="eastAsia"/>
          <w:b/>
          <w:color w:val="auto"/>
          <w:sz w:val="21"/>
          <w:szCs w:val="21"/>
        </w:rPr>
        <w:t>（研讨后由标准部人员填写）</w:t>
      </w:r>
    </w:p>
    <w:sectPr w:rsidR="009908B4" w:rsidRPr="00242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3184" w:rsidRDefault="00523184" w:rsidP="00D46D64">
      <w:r>
        <w:separator/>
      </w:r>
    </w:p>
  </w:endnote>
  <w:endnote w:type="continuationSeparator" w:id="0">
    <w:p w:rsidR="00523184" w:rsidRDefault="00523184" w:rsidP="00D46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3184" w:rsidRDefault="00523184" w:rsidP="00D46D64">
      <w:r>
        <w:separator/>
      </w:r>
    </w:p>
  </w:footnote>
  <w:footnote w:type="continuationSeparator" w:id="0">
    <w:p w:rsidR="00523184" w:rsidRDefault="00523184" w:rsidP="00D46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A03"/>
    <w:rsid w:val="00072040"/>
    <w:rsid w:val="000775A6"/>
    <w:rsid w:val="000C67AD"/>
    <w:rsid w:val="000F18E6"/>
    <w:rsid w:val="0014290C"/>
    <w:rsid w:val="001A5583"/>
    <w:rsid w:val="0024230B"/>
    <w:rsid w:val="002E6107"/>
    <w:rsid w:val="002F1596"/>
    <w:rsid w:val="003565EE"/>
    <w:rsid w:val="00453DCB"/>
    <w:rsid w:val="004A3462"/>
    <w:rsid w:val="004B5D89"/>
    <w:rsid w:val="004F433E"/>
    <w:rsid w:val="005073A0"/>
    <w:rsid w:val="00523184"/>
    <w:rsid w:val="00532603"/>
    <w:rsid w:val="005A1C8A"/>
    <w:rsid w:val="005E6154"/>
    <w:rsid w:val="006227FC"/>
    <w:rsid w:val="006812C6"/>
    <w:rsid w:val="006C3532"/>
    <w:rsid w:val="006D4B4A"/>
    <w:rsid w:val="00757735"/>
    <w:rsid w:val="00814B69"/>
    <w:rsid w:val="008F5A4B"/>
    <w:rsid w:val="00956945"/>
    <w:rsid w:val="009908B4"/>
    <w:rsid w:val="00A83765"/>
    <w:rsid w:val="00B63A09"/>
    <w:rsid w:val="00B80C28"/>
    <w:rsid w:val="00C7309C"/>
    <w:rsid w:val="00C8483C"/>
    <w:rsid w:val="00C8775F"/>
    <w:rsid w:val="00D360D4"/>
    <w:rsid w:val="00D46D64"/>
    <w:rsid w:val="00D53A03"/>
    <w:rsid w:val="00D70E2C"/>
    <w:rsid w:val="00DE4A4A"/>
    <w:rsid w:val="00E4460E"/>
    <w:rsid w:val="00F31A79"/>
    <w:rsid w:val="00FA1D51"/>
    <w:rsid w:val="00FD00F7"/>
    <w:rsid w:val="00FD644D"/>
    <w:rsid w:val="1128289B"/>
    <w:rsid w:val="18CE5F19"/>
    <w:rsid w:val="26EE359D"/>
    <w:rsid w:val="2F7F6B83"/>
    <w:rsid w:val="5BF1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9DAF16"/>
  <w15:docId w15:val="{5BEABA18-AC53-4831-B78A-1DB9A696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365F9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365F9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孙元元(北京-业务二部)</dc:creator>
  <cp:lastModifiedBy>姜艳丽(北京-审计风险管理部)</cp:lastModifiedBy>
  <cp:revision>28</cp:revision>
  <dcterms:created xsi:type="dcterms:W3CDTF">2025-11-11T07:27:00Z</dcterms:created>
  <dcterms:modified xsi:type="dcterms:W3CDTF">2026-06-09T03:23:00Z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eyJoZGlkIjoiY2YwMWI5ZGFmZGI3Zjk2MjY3YWI0MTlhYTRjYWE3MTUiLCJ1c2VySWQiOiIxMzc0NDM1MTY3MjQifQ==</vt:lpwstr>
  </property>
  <property fmtid="{D5CDD505-2E9C-101B-9397-08002B2CF9AE}" pid="3" name="KSOProductBuildVer">
    <vt:lpwstr>2052-12.1.0.26880</vt:lpwstr>
  </property>
  <property fmtid="{D5CDD505-2E9C-101B-9397-08002B2CF9AE}" pid="4" name="ICV">
    <vt:lpwstr>77C31BEF2A72426CAABF04E129A3FB9D_12</vt:lpwstr>
  </property>
</Properties>
</file>