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ED2E" w14:textId="041BA470" w:rsidR="00D92F32" w:rsidRDefault="00D92F32" w:rsidP="00D92F32">
      <w:pPr>
        <w:jc w:val="center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三部研讨会议题【并表判断】-（8月第1期）</w:t>
      </w:r>
    </w:p>
    <w:p w14:paraId="43423238" w14:textId="77777777" w:rsidR="00D92F32" w:rsidRDefault="00D92F32">
      <w:pPr>
        <w:rPr>
          <w:rFonts w:ascii="黑体" w:eastAsia="黑体" w:hAnsi="黑体" w:hint="eastAsia"/>
          <w:sz w:val="24"/>
          <w:szCs w:val="24"/>
        </w:rPr>
      </w:pPr>
    </w:p>
    <w:p w14:paraId="0C2F5EE0" w14:textId="304EADE5" w:rsidR="00D92F32" w:rsidRDefault="00D92F32">
      <w:pPr>
        <w:rPr>
          <w:rFonts w:ascii="黑体" w:eastAsia="黑体" w:hAnsi="黑体" w:hint="eastAsia"/>
          <w:b/>
          <w:bCs/>
          <w:sz w:val="24"/>
          <w:szCs w:val="24"/>
        </w:rPr>
      </w:pPr>
      <w:r w:rsidRPr="00D92F32">
        <w:rPr>
          <w:rFonts w:ascii="黑体" w:eastAsia="黑体" w:hAnsi="黑体" w:hint="eastAsia"/>
          <w:b/>
          <w:bCs/>
          <w:sz w:val="24"/>
          <w:szCs w:val="24"/>
        </w:rPr>
        <w:t>案例情况：</w:t>
      </w:r>
    </w:p>
    <w:p w14:paraId="0B021B25" w14:textId="77777777" w:rsidR="00483CEA" w:rsidRDefault="00483CEA">
      <w:pPr>
        <w:rPr>
          <w:rFonts w:ascii="黑体" w:eastAsia="黑体" w:hAnsi="黑体" w:hint="eastAsia"/>
          <w:b/>
          <w:bCs/>
          <w:sz w:val="24"/>
          <w:szCs w:val="24"/>
        </w:rPr>
      </w:pPr>
    </w:p>
    <w:p w14:paraId="0060C21B" w14:textId="4AB7B630" w:rsidR="00483CEA" w:rsidRPr="00483CEA" w:rsidRDefault="00483CEA" w:rsidP="00483CEA">
      <w:pPr>
        <w:pStyle w:val="a7"/>
        <w:numPr>
          <w:ilvl w:val="0"/>
          <w:numId w:val="2"/>
        </w:numPr>
        <w:ind w:firstLineChars="0"/>
        <w:rPr>
          <w:rFonts w:ascii="黑体" w:eastAsia="黑体" w:hAnsi="黑体" w:hint="eastAsia"/>
          <w:sz w:val="24"/>
          <w:szCs w:val="24"/>
        </w:rPr>
      </w:pPr>
      <w:r w:rsidRPr="00483CEA">
        <w:rPr>
          <w:rFonts w:ascii="黑体" w:eastAsia="黑体" w:hAnsi="黑体" w:hint="eastAsia"/>
          <w:sz w:val="24"/>
          <w:szCs w:val="24"/>
        </w:rPr>
        <w:t>平台设立背景：</w:t>
      </w:r>
    </w:p>
    <w:p w14:paraId="6D009742" w14:textId="77777777" w:rsidR="00483CEA" w:rsidRPr="00483CEA" w:rsidRDefault="00483CEA" w:rsidP="00483CEA">
      <w:pPr>
        <w:rPr>
          <w:rFonts w:ascii="黑体" w:eastAsia="黑体" w:hAnsi="黑体" w:hint="eastAsia"/>
          <w:sz w:val="24"/>
          <w:szCs w:val="24"/>
        </w:rPr>
      </w:pPr>
    </w:p>
    <w:p w14:paraId="01E8CF16" w14:textId="35C7D917" w:rsidR="00483CEA" w:rsidRDefault="00483CEA" w:rsidP="00483CEA">
      <w:pPr>
        <w:rPr>
          <w:rFonts w:ascii="黑体" w:eastAsia="黑体" w:hAnsi="黑体" w:hint="eastAsia"/>
          <w:sz w:val="24"/>
          <w:szCs w:val="24"/>
        </w:rPr>
      </w:pPr>
      <w:r w:rsidRPr="00483CEA">
        <w:rPr>
          <w:rFonts w:ascii="黑体" w:eastAsia="黑体" w:hAnsi="黑体"/>
          <w:sz w:val="24"/>
          <w:szCs w:val="24"/>
        </w:rPr>
        <w:t>平台核心定位：国企集团设立的专业化托管 + 数字化处置一体化平台，集中承接、统一管理、市场化盘活 / 退出全集团 “两非两资”，实现国企瘦身健体、资源向主业集中、防止国有资产流失。</w:t>
      </w:r>
    </w:p>
    <w:p w14:paraId="2B3327D4" w14:textId="77777777" w:rsidR="00071913" w:rsidRDefault="00071913" w:rsidP="00483CEA">
      <w:pPr>
        <w:rPr>
          <w:rFonts w:ascii="黑体" w:eastAsia="黑体" w:hAnsi="黑体" w:hint="eastAsia"/>
          <w:sz w:val="24"/>
          <w:szCs w:val="24"/>
        </w:rPr>
      </w:pPr>
    </w:p>
    <w:p w14:paraId="346D0204" w14:textId="7438F68F" w:rsidR="00071913" w:rsidRDefault="00071913" w:rsidP="00483CEA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交易结构背景介绍：</w:t>
      </w:r>
    </w:p>
    <w:p w14:paraId="3957D724" w14:textId="3DB66387" w:rsidR="0022228A" w:rsidRDefault="0022228A" w:rsidP="0007191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2228A">
        <w:rPr>
          <w:rFonts w:ascii="宋体" w:eastAsia="宋体" w:hAnsi="宋体" w:cs="宋体"/>
          <w:b/>
          <w:bCs/>
          <w:kern w:val="0"/>
          <w:sz w:val="24"/>
          <w:szCs w:val="24"/>
        </w:rPr>
        <w:t>A 公司依托境外 BVI 跨境主体，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控制香港设立的SPV，进而控制境内18家地产公司。</w:t>
      </w:r>
    </w:p>
    <w:p w14:paraId="07D6F759" w14:textId="21364092" w:rsidR="00071913" w:rsidRPr="0047724C" w:rsidRDefault="00071913" w:rsidP="00071913">
      <w:pPr>
        <w:widowControl/>
        <w:spacing w:before="100" w:beforeAutospacing="1" w:after="100" w:afterAutospacing="1"/>
        <w:jc w:val="left"/>
        <w:rPr>
          <w:rFonts w:ascii="黑体" w:eastAsia="黑体" w:hAnsi="黑体" w:cs="宋体" w:hint="eastAsia"/>
          <w:b/>
          <w:bCs/>
          <w:kern w:val="0"/>
          <w:sz w:val="24"/>
          <w:szCs w:val="24"/>
        </w:rPr>
      </w:pPr>
      <w:r w:rsidRPr="0047724C">
        <w:rPr>
          <w:rFonts w:ascii="宋体" w:eastAsia="宋体" w:hAnsi="宋体" w:cs="宋体"/>
          <w:b/>
          <w:bCs/>
          <w:kern w:val="0"/>
          <w:sz w:val="24"/>
          <w:szCs w:val="24"/>
        </w:rPr>
        <w:t>本次交易为主体 A 公司落地地产不良资产包</w:t>
      </w:r>
      <w:proofErr w:type="gramStart"/>
      <w:r w:rsidR="0047724C" w:rsidRPr="0047724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通过两非两</w:t>
      </w:r>
      <w:proofErr w:type="gramEnd"/>
      <w:r w:rsidR="0047724C" w:rsidRPr="0047724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资平台转让</w:t>
      </w:r>
      <w:r w:rsidR="0047724C" w:rsidRPr="0047724C">
        <w:rPr>
          <w:rFonts w:ascii="黑体" w:eastAsia="黑体" w:hAnsi="黑体" w:cs="宋体" w:hint="eastAsia"/>
          <w:b/>
          <w:bCs/>
          <w:kern w:val="0"/>
          <w:sz w:val="24"/>
          <w:szCs w:val="24"/>
        </w:rPr>
        <w:t>，包括</w:t>
      </w:r>
      <w:r w:rsidRPr="0047724C">
        <w:rPr>
          <w:rFonts w:ascii="黑体" w:eastAsia="黑体" w:hAnsi="黑体" w:cs="宋体"/>
          <w:b/>
          <w:bCs/>
          <w:kern w:val="0"/>
          <w:sz w:val="24"/>
          <w:szCs w:val="24"/>
        </w:rPr>
        <w:t>设立结构化投资平台、资产运营处置</w:t>
      </w:r>
      <w:r w:rsidR="0047724C" w:rsidRPr="0047724C">
        <w:rPr>
          <w:rFonts w:ascii="黑体" w:eastAsia="黑体" w:hAnsi="黑体" w:cs="宋体" w:hint="eastAsia"/>
          <w:b/>
          <w:bCs/>
          <w:kern w:val="0"/>
          <w:sz w:val="24"/>
          <w:szCs w:val="24"/>
        </w:rPr>
        <w:t>两</w:t>
      </w:r>
      <w:r w:rsidRPr="0047724C">
        <w:rPr>
          <w:rFonts w:ascii="黑体" w:eastAsia="黑体" w:hAnsi="黑体" w:cs="宋体"/>
          <w:b/>
          <w:bCs/>
          <w:kern w:val="0"/>
          <w:sz w:val="24"/>
          <w:szCs w:val="24"/>
        </w:rPr>
        <w:t>个阶段：</w:t>
      </w:r>
    </w:p>
    <w:p w14:paraId="73F50392" w14:textId="30F7A504" w:rsidR="00071913" w:rsidRPr="00071913" w:rsidRDefault="00071913" w:rsidP="0007191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黑体" w:eastAsia="黑体" w:hAnsi="黑体" w:cs="宋体" w:hint="eastAsia"/>
          <w:kern w:val="0"/>
          <w:sz w:val="24"/>
          <w:szCs w:val="24"/>
        </w:rPr>
      </w:pPr>
      <w:r w:rsidRPr="00071913">
        <w:rPr>
          <w:rFonts w:ascii="黑体" w:eastAsia="黑体" w:hAnsi="黑体" w:cs="宋体"/>
          <w:b/>
          <w:bCs/>
          <w:kern w:val="0"/>
          <w:sz w:val="24"/>
          <w:szCs w:val="24"/>
        </w:rPr>
        <w:t>第</w:t>
      </w:r>
      <w:r w:rsidR="0047724C">
        <w:rPr>
          <w:rFonts w:ascii="黑体" w:eastAsia="黑体" w:hAnsi="黑体" w:cs="宋体" w:hint="eastAsia"/>
          <w:b/>
          <w:bCs/>
          <w:kern w:val="0"/>
          <w:sz w:val="24"/>
          <w:szCs w:val="24"/>
        </w:rPr>
        <w:t>一</w:t>
      </w:r>
      <w:r w:rsidRPr="00071913">
        <w:rPr>
          <w:rFonts w:ascii="黑体" w:eastAsia="黑体" w:hAnsi="黑体" w:cs="宋体"/>
          <w:b/>
          <w:bCs/>
          <w:kern w:val="0"/>
          <w:sz w:val="24"/>
          <w:szCs w:val="24"/>
        </w:rPr>
        <w:t>阶段：设立结构化 “两非两资” 顶层投资平台</w:t>
      </w:r>
      <w:r w:rsidR="0047724C">
        <w:rPr>
          <w:rFonts w:ascii="黑体" w:eastAsia="黑体" w:hAnsi="黑体" w:cs="宋体" w:hint="eastAsia"/>
          <w:kern w:val="0"/>
          <w:sz w:val="24"/>
          <w:szCs w:val="24"/>
        </w:rPr>
        <w:t>，</w:t>
      </w:r>
      <w:r w:rsidRPr="00071913">
        <w:rPr>
          <w:rFonts w:ascii="黑体" w:eastAsia="黑体" w:hAnsi="黑体" w:cs="宋体"/>
          <w:kern w:val="0"/>
          <w:sz w:val="24"/>
          <w:szCs w:val="24"/>
        </w:rPr>
        <w:t>设立总规模 32.50 亿元的顶层有限合伙企业，采用</w:t>
      </w:r>
      <w:r w:rsidRPr="00071913">
        <w:rPr>
          <w:rFonts w:ascii="黑体" w:eastAsia="黑体" w:hAnsi="黑体" w:cs="宋体"/>
          <w:b/>
          <w:bCs/>
          <w:kern w:val="0"/>
          <w:sz w:val="24"/>
          <w:szCs w:val="24"/>
        </w:rPr>
        <w:t>70% 外部优先级 + 30% 双劣后</w:t>
      </w:r>
      <w:r w:rsidRPr="00071913">
        <w:rPr>
          <w:rFonts w:ascii="黑体" w:eastAsia="黑体" w:hAnsi="黑体" w:cs="宋体"/>
          <w:kern w:val="0"/>
          <w:sz w:val="24"/>
          <w:szCs w:val="24"/>
        </w:rPr>
        <w:t>的结构化资金架构：外部机构担任</w:t>
      </w:r>
      <w:r w:rsidR="0047724C">
        <w:rPr>
          <w:rFonts w:ascii="黑体" w:eastAsia="黑体" w:hAnsi="黑体" w:cs="宋体" w:hint="eastAsia"/>
          <w:kern w:val="0"/>
          <w:sz w:val="24"/>
          <w:szCs w:val="24"/>
        </w:rPr>
        <w:t>执行事务合伙人</w:t>
      </w:r>
      <w:r w:rsidRPr="00071913">
        <w:rPr>
          <w:rFonts w:ascii="黑体" w:eastAsia="黑体" w:hAnsi="黑体" w:cs="宋体"/>
          <w:kern w:val="0"/>
          <w:sz w:val="24"/>
          <w:szCs w:val="24"/>
        </w:rPr>
        <w:t>并提供优先级资金，A 公司承担 15%劣后出资，同步引入外部机构承担剩余15%劣后，有效分摊A公司自有资金投入压力；平台通过公开市场摘牌收购有限合伙 A、B 的LP份额，完成对 18 项底层资产包的资金投放，交易对应资产收购对价 32.49 亿元，并承接标的负债 6.81 亿元。</w:t>
      </w:r>
    </w:p>
    <w:p w14:paraId="1996E54A" w14:textId="69266ABB" w:rsidR="00071913" w:rsidRDefault="00071913" w:rsidP="0007191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黑体" w:eastAsia="黑体" w:hAnsi="黑体" w:cs="宋体"/>
          <w:kern w:val="0"/>
          <w:sz w:val="24"/>
          <w:szCs w:val="24"/>
        </w:rPr>
      </w:pPr>
      <w:r w:rsidRPr="00071913">
        <w:rPr>
          <w:rFonts w:ascii="黑体" w:eastAsia="黑体" w:hAnsi="黑体" w:cs="宋体"/>
          <w:b/>
          <w:bCs/>
          <w:kern w:val="0"/>
          <w:sz w:val="24"/>
          <w:szCs w:val="24"/>
        </w:rPr>
        <w:t>第</w:t>
      </w:r>
      <w:r w:rsidR="0047724C">
        <w:rPr>
          <w:rFonts w:ascii="黑体" w:eastAsia="黑体" w:hAnsi="黑体" w:cs="宋体" w:hint="eastAsia"/>
          <w:b/>
          <w:bCs/>
          <w:kern w:val="0"/>
          <w:sz w:val="24"/>
          <w:szCs w:val="24"/>
        </w:rPr>
        <w:t>二</w:t>
      </w:r>
      <w:r w:rsidRPr="00071913">
        <w:rPr>
          <w:rFonts w:ascii="黑体" w:eastAsia="黑体" w:hAnsi="黑体" w:cs="宋体"/>
          <w:b/>
          <w:bCs/>
          <w:kern w:val="0"/>
          <w:sz w:val="24"/>
          <w:szCs w:val="24"/>
        </w:rPr>
        <w:t>阶段：资产委托运营与收益分配机制</w:t>
      </w:r>
      <w:r w:rsidRPr="00071913">
        <w:rPr>
          <w:rFonts w:ascii="黑体" w:eastAsia="黑体" w:hAnsi="黑体" w:cs="宋体"/>
          <w:kern w:val="0"/>
          <w:sz w:val="24"/>
          <w:szCs w:val="24"/>
        </w:rPr>
        <w:t>平台存续期设置 5+2 年，委托 A公司负责底层资产经营处置，同时外部机构实施账户、证照共管</w:t>
      </w:r>
      <w:proofErr w:type="gramStart"/>
      <w:r w:rsidRPr="00071913">
        <w:rPr>
          <w:rFonts w:ascii="黑体" w:eastAsia="黑体" w:hAnsi="黑体" w:cs="宋体"/>
          <w:kern w:val="0"/>
          <w:sz w:val="24"/>
          <w:szCs w:val="24"/>
        </w:rPr>
        <w:t>等风控措施</w:t>
      </w:r>
      <w:proofErr w:type="gramEnd"/>
      <w:r w:rsidRPr="00071913">
        <w:rPr>
          <w:rFonts w:ascii="黑体" w:eastAsia="黑体" w:hAnsi="黑体" w:cs="宋体"/>
          <w:kern w:val="0"/>
          <w:sz w:val="24"/>
          <w:szCs w:val="24"/>
        </w:rPr>
        <w:t>；设置</w:t>
      </w:r>
      <w:proofErr w:type="gramStart"/>
      <w:r w:rsidRPr="00071913">
        <w:rPr>
          <w:rFonts w:ascii="黑体" w:eastAsia="黑体" w:hAnsi="黑体" w:cs="宋体"/>
          <w:kern w:val="0"/>
          <w:sz w:val="24"/>
          <w:szCs w:val="24"/>
        </w:rPr>
        <w:t>投决会</w:t>
      </w:r>
      <w:proofErr w:type="gramEnd"/>
      <w:r w:rsidRPr="00071913">
        <w:rPr>
          <w:rFonts w:ascii="黑体" w:eastAsia="黑体" w:hAnsi="黑体" w:cs="宋体"/>
          <w:kern w:val="0"/>
          <w:sz w:val="24"/>
          <w:szCs w:val="24"/>
        </w:rPr>
        <w:t>平衡双方权利，并配套资产回款、租金收益考核预警机制。收益按照典型</w:t>
      </w:r>
      <w:r w:rsidRPr="00071913">
        <w:rPr>
          <w:rFonts w:ascii="黑体" w:eastAsia="黑体" w:hAnsi="黑体" w:cs="宋体"/>
          <w:b/>
          <w:bCs/>
          <w:kern w:val="0"/>
          <w:sz w:val="24"/>
          <w:szCs w:val="24"/>
        </w:rPr>
        <w:t>瀑布分配规则</w:t>
      </w:r>
      <w:r w:rsidRPr="00071913">
        <w:rPr>
          <w:rFonts w:ascii="黑体" w:eastAsia="黑体" w:hAnsi="黑体" w:cs="宋体"/>
          <w:kern w:val="0"/>
          <w:sz w:val="24"/>
          <w:szCs w:val="24"/>
        </w:rPr>
        <w:t>优先保障优先级资金本息及预期收益，资产处置产生的超额收益主要由资产处置方享有，剩余收益由 A 公司与外部劣后方按出资比例共享；同时方案预留物业升级改造资金渠道，兼顾快速转让退出与资产增值盘活两条路径。</w:t>
      </w:r>
    </w:p>
    <w:p w14:paraId="71DC3307" w14:textId="35BD6316" w:rsidR="0022228A" w:rsidRPr="00071913" w:rsidRDefault="0022228A" w:rsidP="0022228A">
      <w:pPr>
        <w:widowControl/>
        <w:spacing w:before="100" w:beforeAutospacing="1" w:after="100" w:afterAutospacing="1"/>
        <w:jc w:val="left"/>
        <w:rPr>
          <w:rFonts w:ascii="黑体" w:eastAsia="黑体" w:hAnsi="黑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B公司作为外部投资人（AMC）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，为平台主要资方以及执行事务合伙人。</w:t>
      </w:r>
    </w:p>
    <w:p w14:paraId="4CE6F510" w14:textId="0F323A4B" w:rsidR="00071913" w:rsidRPr="00071913" w:rsidRDefault="00071913" w:rsidP="00071913">
      <w:pPr>
        <w:widowControl/>
        <w:spacing w:before="100" w:beforeAutospacing="1" w:after="100" w:afterAutospacing="1"/>
        <w:jc w:val="left"/>
        <w:rPr>
          <w:rFonts w:ascii="黑体" w:eastAsia="黑体" w:hAnsi="黑体" w:cs="宋体" w:hint="eastAsia"/>
          <w:kern w:val="0"/>
          <w:sz w:val="24"/>
          <w:szCs w:val="24"/>
        </w:rPr>
      </w:pPr>
      <w:r w:rsidRPr="00071913">
        <w:rPr>
          <w:rFonts w:ascii="黑体" w:eastAsia="黑体" w:hAnsi="黑体" w:cs="宋体"/>
          <w:b/>
          <w:bCs/>
          <w:kern w:val="0"/>
          <w:sz w:val="24"/>
          <w:szCs w:val="24"/>
        </w:rPr>
        <w:t>整体交易核心目的</w:t>
      </w:r>
      <w:r w:rsidRPr="00071913">
        <w:rPr>
          <w:rFonts w:ascii="黑体" w:eastAsia="黑体" w:hAnsi="黑体" w:cs="宋体"/>
          <w:kern w:val="0"/>
          <w:sz w:val="24"/>
          <w:szCs w:val="24"/>
        </w:rPr>
        <w:t>：A公司通过前期架构梳理整合存量底层资产，借助结构化基金撬动外部优先级杠杆、引入合作方共担劣后风险，以“资金方出资 + A 方输出资产处置能力”模式完成资产包投资</w:t>
      </w:r>
      <w:r w:rsidR="0047724C">
        <w:rPr>
          <w:rFonts w:ascii="黑体" w:eastAsia="黑体" w:hAnsi="黑体" w:cs="宋体" w:hint="eastAsia"/>
          <w:kern w:val="0"/>
          <w:sz w:val="24"/>
          <w:szCs w:val="24"/>
        </w:rPr>
        <w:t>。</w:t>
      </w:r>
      <w:r w:rsidR="0047724C" w:rsidRPr="00071913">
        <w:rPr>
          <w:rFonts w:ascii="黑体" w:eastAsia="黑体" w:hAnsi="黑体" w:cs="宋体"/>
          <w:kern w:val="0"/>
          <w:sz w:val="24"/>
          <w:szCs w:val="24"/>
        </w:rPr>
        <w:t xml:space="preserve"> </w:t>
      </w:r>
      <w:r w:rsidR="0047724C">
        <w:rPr>
          <w:rFonts w:ascii="黑体" w:eastAsia="黑体" w:hAnsi="黑体" w:cs="宋体" w:hint="eastAsia"/>
          <w:kern w:val="0"/>
          <w:sz w:val="24"/>
          <w:szCs w:val="24"/>
        </w:rPr>
        <w:t>具体交易结构详见下图：</w:t>
      </w:r>
    </w:p>
    <w:p w14:paraId="008CBAA9" w14:textId="77777777" w:rsidR="00071913" w:rsidRPr="00071913" w:rsidRDefault="00071913" w:rsidP="00483CEA">
      <w:pPr>
        <w:rPr>
          <w:rFonts w:ascii="黑体" w:eastAsia="黑体" w:hAnsi="黑体" w:hint="eastAsia"/>
          <w:sz w:val="24"/>
          <w:szCs w:val="24"/>
        </w:rPr>
      </w:pPr>
    </w:p>
    <w:p w14:paraId="0FE6B18B" w14:textId="77777777" w:rsidR="00D92F32" w:rsidRPr="00071913" w:rsidRDefault="00D92F32">
      <w:pPr>
        <w:rPr>
          <w:rFonts w:ascii="黑体" w:eastAsia="黑体" w:hAnsi="黑体" w:hint="eastAsia"/>
          <w:sz w:val="24"/>
          <w:szCs w:val="24"/>
        </w:rPr>
      </w:pPr>
    </w:p>
    <w:p w14:paraId="4A9D189F" w14:textId="268AE5D2" w:rsidR="00D92F32" w:rsidRDefault="006D5A91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noProof/>
          <w:sz w:val="24"/>
          <w:szCs w:val="24"/>
        </w:rPr>
        <w:lastRenderedPageBreak/>
        <w:drawing>
          <wp:inline distT="0" distB="0" distL="0" distR="0" wp14:anchorId="399F6994" wp14:editId="14D1A98D">
            <wp:extent cx="5337810" cy="2940685"/>
            <wp:effectExtent l="0" t="0" r="0" b="0"/>
            <wp:docPr id="889336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36195" name="图片 8893361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AA8B" w14:textId="77777777" w:rsidR="00D92F32" w:rsidRDefault="00D92F32">
      <w:pPr>
        <w:rPr>
          <w:rFonts w:ascii="黑体" w:eastAsia="黑体" w:hAnsi="黑体" w:hint="eastAsia"/>
          <w:sz w:val="24"/>
          <w:szCs w:val="24"/>
        </w:rPr>
      </w:pPr>
    </w:p>
    <w:p w14:paraId="45AF22A7" w14:textId="4EB91BB0" w:rsidR="00D92F32" w:rsidRDefault="006D5A91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2E68179D" wp14:editId="4F47E965">
            <wp:extent cx="5353050" cy="2944495"/>
            <wp:effectExtent l="0" t="0" r="0" b="8255"/>
            <wp:docPr id="4878922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92291" name="图片 4878922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5ED7" w14:textId="77777777" w:rsidR="00D92F32" w:rsidRDefault="00D92F32">
      <w:pPr>
        <w:rPr>
          <w:rFonts w:ascii="黑体" w:eastAsia="黑体" w:hAnsi="黑体" w:hint="eastAsia"/>
          <w:sz w:val="24"/>
          <w:szCs w:val="24"/>
        </w:rPr>
      </w:pPr>
    </w:p>
    <w:p w14:paraId="04806E01" w14:textId="77777777" w:rsidR="00D92F32" w:rsidRDefault="00D92F32">
      <w:pPr>
        <w:rPr>
          <w:rFonts w:ascii="黑体" w:eastAsia="黑体" w:hAnsi="黑体" w:hint="eastAsia"/>
          <w:sz w:val="24"/>
          <w:szCs w:val="24"/>
        </w:rPr>
      </w:pPr>
    </w:p>
    <w:p w14:paraId="78AD90D4" w14:textId="77777777" w:rsidR="006D5A91" w:rsidRDefault="006D5A91">
      <w:pPr>
        <w:rPr>
          <w:rFonts w:ascii="黑体" w:eastAsia="黑体" w:hAnsi="黑体" w:hint="eastAsia"/>
          <w:sz w:val="24"/>
          <w:szCs w:val="24"/>
        </w:rPr>
      </w:pPr>
    </w:p>
    <w:p w14:paraId="719D48FD" w14:textId="2BDEFD6E" w:rsidR="006D5A91" w:rsidRDefault="006D5A91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noProof/>
          <w:sz w:val="24"/>
          <w:szCs w:val="24"/>
        </w:rPr>
        <w:lastRenderedPageBreak/>
        <w:drawing>
          <wp:inline distT="0" distB="0" distL="0" distR="0" wp14:anchorId="24AD1CA2" wp14:editId="1E095D9D">
            <wp:extent cx="6730981" cy="3752850"/>
            <wp:effectExtent l="0" t="0" r="0" b="0"/>
            <wp:docPr id="118474617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46174" name="图片 11847461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8836" cy="375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6892" w14:textId="77777777" w:rsidR="00D92F32" w:rsidRDefault="00D92F32">
      <w:pPr>
        <w:rPr>
          <w:rFonts w:ascii="黑体" w:eastAsia="黑体" w:hAnsi="黑体" w:hint="eastAsia"/>
          <w:sz w:val="24"/>
          <w:szCs w:val="24"/>
        </w:rPr>
      </w:pPr>
    </w:p>
    <w:p w14:paraId="6C68B55F" w14:textId="1057653C" w:rsidR="00B45080" w:rsidRPr="00483CEA" w:rsidRDefault="009D2C57">
      <w:pPr>
        <w:rPr>
          <w:rFonts w:ascii="黑体" w:eastAsia="黑体" w:hAnsi="黑体" w:hint="eastAsia"/>
          <w:b/>
          <w:bCs/>
          <w:sz w:val="24"/>
          <w:szCs w:val="24"/>
        </w:rPr>
      </w:pPr>
      <w:r w:rsidRPr="00483CEA">
        <w:rPr>
          <w:rFonts w:ascii="黑体" w:eastAsia="黑体" w:hAnsi="黑体" w:hint="eastAsia"/>
          <w:b/>
          <w:bCs/>
          <w:sz w:val="24"/>
          <w:szCs w:val="24"/>
        </w:rPr>
        <w:t>一、项目方案关键点：</w:t>
      </w:r>
    </w:p>
    <w:p w14:paraId="711D7D3A" w14:textId="77777777" w:rsidR="00B45080" w:rsidRDefault="00B45080">
      <w:pPr>
        <w:rPr>
          <w:rFonts w:ascii="黑体" w:eastAsia="黑体" w:hAnsi="黑体" w:hint="eastAsia"/>
          <w:sz w:val="24"/>
          <w:szCs w:val="24"/>
        </w:rPr>
      </w:pPr>
    </w:p>
    <w:p w14:paraId="5DF8C653" w14:textId="77777777" w:rsidR="00B45080" w:rsidRDefault="009D2C57">
      <w:pPr>
        <w:pStyle w:val="a7"/>
        <w:numPr>
          <w:ilvl w:val="0"/>
          <w:numId w:val="1"/>
        </w:numPr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平台总规模35.9亿元，其中B公司等外部投资人作为优先级LP出资25.13亿元，A公司指定主体作为劣后级LP出资10.7亿元，A公司指定主体出资比例为3</w:t>
      </w:r>
      <w:r>
        <w:rPr>
          <w:rFonts w:ascii="黑体" w:eastAsia="黑体" w:hAnsi="黑体"/>
          <w:sz w:val="24"/>
          <w:szCs w:val="24"/>
        </w:rPr>
        <w:t>0%</w:t>
      </w:r>
      <w:r>
        <w:rPr>
          <w:rFonts w:ascii="黑体" w:eastAsia="黑体" w:hAnsi="黑体" w:hint="eastAsia"/>
          <w:sz w:val="24"/>
          <w:szCs w:val="24"/>
        </w:rPr>
        <w:t>。平台采用双GP模式，由B公司、A公司各指定一名GP，B公司为执行事务合伙人；</w:t>
      </w:r>
    </w:p>
    <w:p w14:paraId="382DCAA4" w14:textId="77777777" w:rsidR="00B45080" w:rsidRDefault="00B45080">
      <w:pPr>
        <w:rPr>
          <w:rFonts w:ascii="黑体" w:eastAsia="黑体" w:hAnsi="黑体" w:hint="eastAsia"/>
          <w:sz w:val="24"/>
          <w:szCs w:val="24"/>
        </w:rPr>
      </w:pPr>
    </w:p>
    <w:p w14:paraId="246F3F43" w14:textId="77777777" w:rsidR="00B45080" w:rsidRDefault="009D2C57">
      <w:pPr>
        <w:pStyle w:val="a7"/>
        <w:numPr>
          <w:ilvl w:val="0"/>
          <w:numId w:val="1"/>
        </w:numPr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平台决策由各</w:t>
      </w:r>
      <w:r>
        <w:rPr>
          <w:rFonts w:ascii="黑体" w:eastAsia="黑体" w:hAnsi="黑体"/>
          <w:sz w:val="24"/>
          <w:szCs w:val="24"/>
        </w:rPr>
        <w:t>LP、GP一致</w:t>
      </w:r>
      <w:r>
        <w:rPr>
          <w:rFonts w:ascii="黑体" w:eastAsia="黑体" w:hAnsi="黑体" w:hint="eastAsia"/>
          <w:sz w:val="24"/>
          <w:szCs w:val="24"/>
        </w:rPr>
        <w:t>决策</w:t>
      </w:r>
      <w:r>
        <w:rPr>
          <w:rFonts w:ascii="黑体" w:eastAsia="黑体" w:hAnsi="黑体"/>
          <w:sz w:val="24"/>
          <w:szCs w:val="24"/>
        </w:rPr>
        <w:t>，但触发风险预警机制的情况下由</w:t>
      </w:r>
      <w:r>
        <w:rPr>
          <w:rFonts w:ascii="黑体" w:eastAsia="黑体" w:hAnsi="黑体" w:hint="eastAsia"/>
          <w:sz w:val="24"/>
          <w:szCs w:val="24"/>
        </w:rPr>
        <w:t>B公司</w:t>
      </w:r>
      <w:r>
        <w:rPr>
          <w:rFonts w:ascii="黑体" w:eastAsia="黑体" w:hAnsi="黑体"/>
          <w:sz w:val="24"/>
          <w:szCs w:val="24"/>
        </w:rPr>
        <w:t>独立决策</w:t>
      </w:r>
      <w:r>
        <w:rPr>
          <w:rFonts w:ascii="黑体" w:eastAsia="黑体" w:hAnsi="黑体" w:hint="eastAsia"/>
          <w:sz w:val="24"/>
          <w:szCs w:val="24"/>
        </w:rPr>
        <w:t>；</w:t>
      </w:r>
    </w:p>
    <w:p w14:paraId="0386578E" w14:textId="77777777" w:rsidR="00B45080" w:rsidRDefault="00B45080">
      <w:pPr>
        <w:rPr>
          <w:rFonts w:ascii="黑体" w:eastAsia="黑体" w:hAnsi="黑体" w:hint="eastAsia"/>
          <w:sz w:val="24"/>
          <w:szCs w:val="24"/>
        </w:rPr>
      </w:pPr>
    </w:p>
    <w:p w14:paraId="5CD9751E" w14:textId="77777777" w:rsidR="00B45080" w:rsidRDefault="009D2C57">
      <w:pPr>
        <w:pStyle w:val="a7"/>
        <w:numPr>
          <w:ilvl w:val="0"/>
          <w:numId w:val="1"/>
        </w:numPr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回款分配顺序：1、税费及其他处置费用（</w:t>
      </w:r>
      <w:proofErr w:type="gramStart"/>
      <w:r>
        <w:rPr>
          <w:rFonts w:ascii="黑体" w:eastAsia="黑体" w:hAnsi="黑体" w:hint="eastAsia"/>
          <w:sz w:val="24"/>
          <w:szCs w:val="24"/>
        </w:rPr>
        <w:t>含基础</w:t>
      </w:r>
      <w:proofErr w:type="gramEnd"/>
      <w:r>
        <w:rPr>
          <w:rFonts w:ascii="黑体" w:eastAsia="黑体" w:hAnsi="黑体" w:hint="eastAsia"/>
          <w:sz w:val="24"/>
          <w:szCs w:val="24"/>
        </w:rPr>
        <w:t>管理费）；2、B公司基础收益（假设</w:t>
      </w:r>
      <w:r>
        <w:rPr>
          <w:rFonts w:ascii="黑体" w:eastAsia="黑体" w:hAnsi="黑体"/>
          <w:sz w:val="24"/>
          <w:szCs w:val="24"/>
        </w:rPr>
        <w:t>4.5-7%）</w:t>
      </w:r>
      <w:r>
        <w:rPr>
          <w:rFonts w:ascii="黑体" w:eastAsia="黑体" w:hAnsi="黑体" w:hint="eastAsia"/>
          <w:sz w:val="24"/>
          <w:szCs w:val="24"/>
        </w:rPr>
        <w:t>；</w:t>
      </w:r>
      <w:r>
        <w:rPr>
          <w:rFonts w:ascii="黑体" w:eastAsia="黑体" w:hAnsi="黑体"/>
          <w:sz w:val="24"/>
          <w:szCs w:val="24"/>
        </w:rPr>
        <w:t>优先级本金</w:t>
      </w:r>
      <w:r>
        <w:rPr>
          <w:rFonts w:ascii="黑体" w:eastAsia="黑体" w:hAnsi="黑体" w:hint="eastAsia"/>
          <w:sz w:val="24"/>
          <w:szCs w:val="24"/>
        </w:rPr>
        <w:t>；</w:t>
      </w:r>
      <w:r>
        <w:rPr>
          <w:rFonts w:ascii="黑体" w:eastAsia="黑体" w:hAnsi="黑体"/>
          <w:sz w:val="24"/>
          <w:szCs w:val="24"/>
        </w:rPr>
        <w:t>劣后级本金</w:t>
      </w:r>
      <w:r>
        <w:rPr>
          <w:rFonts w:ascii="黑体" w:eastAsia="黑体" w:hAnsi="黑体" w:hint="eastAsia"/>
          <w:sz w:val="24"/>
          <w:szCs w:val="24"/>
        </w:rPr>
        <w:t>；</w:t>
      </w:r>
      <w:r>
        <w:rPr>
          <w:rFonts w:ascii="黑体" w:eastAsia="黑体" w:hAnsi="黑体"/>
          <w:sz w:val="24"/>
          <w:szCs w:val="24"/>
        </w:rPr>
        <w:t>双方超额收益</w:t>
      </w:r>
      <w:r>
        <w:rPr>
          <w:rFonts w:ascii="黑体" w:eastAsia="黑体" w:hAnsi="黑体" w:hint="eastAsia"/>
          <w:sz w:val="24"/>
          <w:szCs w:val="24"/>
        </w:rPr>
        <w:t>（根据不同回款区间，劣后级L</w:t>
      </w:r>
      <w:r>
        <w:rPr>
          <w:rFonts w:ascii="黑体" w:eastAsia="黑体" w:hAnsi="黑体"/>
          <w:sz w:val="24"/>
          <w:szCs w:val="24"/>
        </w:rPr>
        <w:t>P</w:t>
      </w:r>
      <w:r>
        <w:rPr>
          <w:rFonts w:ascii="黑体" w:eastAsia="黑体" w:hAnsi="黑体" w:hint="eastAsia"/>
          <w:sz w:val="24"/>
          <w:szCs w:val="24"/>
        </w:rPr>
        <w:t>和优先级L</w:t>
      </w:r>
      <w:r>
        <w:rPr>
          <w:rFonts w:ascii="黑体" w:eastAsia="黑体" w:hAnsi="黑体"/>
          <w:sz w:val="24"/>
          <w:szCs w:val="24"/>
        </w:rPr>
        <w:t>P</w:t>
      </w:r>
      <w:r>
        <w:rPr>
          <w:rFonts w:ascii="黑体" w:eastAsia="黑体" w:hAnsi="黑体" w:hint="eastAsia"/>
          <w:sz w:val="24"/>
          <w:szCs w:val="24"/>
        </w:rPr>
        <w:t>超额分别为9:</w:t>
      </w:r>
      <w:r>
        <w:rPr>
          <w:rFonts w:ascii="黑体" w:eastAsia="黑体" w:hAnsi="黑体"/>
          <w:sz w:val="24"/>
          <w:szCs w:val="24"/>
        </w:rPr>
        <w:t>1,8:2,7:3</w:t>
      </w:r>
      <w:r>
        <w:rPr>
          <w:rFonts w:ascii="黑体" w:eastAsia="黑体" w:hAnsi="黑体" w:hint="eastAsia"/>
          <w:sz w:val="24"/>
          <w:szCs w:val="24"/>
        </w:rPr>
        <w:t>）；</w:t>
      </w:r>
    </w:p>
    <w:p w14:paraId="28181108" w14:textId="77777777" w:rsidR="00B45080" w:rsidRDefault="00B45080">
      <w:pPr>
        <w:rPr>
          <w:rFonts w:ascii="黑体" w:eastAsia="黑体" w:hAnsi="黑体" w:hint="eastAsia"/>
          <w:sz w:val="24"/>
          <w:szCs w:val="24"/>
        </w:rPr>
      </w:pPr>
    </w:p>
    <w:p w14:paraId="70286C77" w14:textId="77777777" w:rsidR="00B45080" w:rsidRDefault="009D2C57">
      <w:pPr>
        <w:pStyle w:val="a7"/>
        <w:numPr>
          <w:ilvl w:val="0"/>
          <w:numId w:val="1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风险预警机制的消除机制：B公司与A公司</w:t>
      </w:r>
      <w:r>
        <w:rPr>
          <w:rFonts w:ascii="黑体" w:eastAsia="黑体" w:hAnsi="黑体"/>
          <w:sz w:val="24"/>
          <w:szCs w:val="24"/>
        </w:rPr>
        <w:t>有权共同决策是否由</w:t>
      </w:r>
      <w:r>
        <w:rPr>
          <w:rFonts w:ascii="黑体" w:eastAsia="黑体" w:hAnsi="黑体" w:hint="eastAsia"/>
          <w:sz w:val="24"/>
          <w:szCs w:val="24"/>
        </w:rPr>
        <w:t>A公司方</w:t>
      </w:r>
      <w:r>
        <w:rPr>
          <w:rFonts w:ascii="黑体" w:eastAsia="黑体" w:hAnsi="黑体"/>
          <w:sz w:val="24"/>
          <w:szCs w:val="24"/>
        </w:rPr>
        <w:t>追缴资金用于向优先级</w:t>
      </w:r>
      <w:r>
        <w:rPr>
          <w:rFonts w:ascii="黑体" w:eastAsia="黑体" w:hAnsi="黑体" w:hint="eastAsia"/>
          <w:sz w:val="24"/>
          <w:szCs w:val="24"/>
        </w:rPr>
        <w:t>L</w:t>
      </w:r>
      <w:r>
        <w:rPr>
          <w:rFonts w:ascii="黑体" w:eastAsia="黑体" w:hAnsi="黑体"/>
          <w:sz w:val="24"/>
          <w:szCs w:val="24"/>
        </w:rPr>
        <w:t>P进行分配以消除风险预警机制，否则将正式触发风险预警机制</w:t>
      </w:r>
      <w:r>
        <w:rPr>
          <w:rFonts w:ascii="黑体" w:eastAsia="黑体" w:hAnsi="黑体" w:hint="eastAsia"/>
          <w:sz w:val="24"/>
          <w:szCs w:val="24"/>
        </w:rPr>
        <w:t>。</w:t>
      </w:r>
    </w:p>
    <w:p w14:paraId="3474BE85" w14:textId="77777777" w:rsidR="0022228A" w:rsidRDefault="0022228A" w:rsidP="0022228A">
      <w:pPr>
        <w:rPr>
          <w:rFonts w:ascii="黑体" w:eastAsia="黑体" w:hAnsi="黑体"/>
          <w:sz w:val="24"/>
          <w:szCs w:val="24"/>
        </w:rPr>
      </w:pPr>
    </w:p>
    <w:p w14:paraId="77F7CDF6" w14:textId="77777777" w:rsidR="0022228A" w:rsidRDefault="0022228A" w:rsidP="0022228A">
      <w:pPr>
        <w:rPr>
          <w:rFonts w:ascii="黑体" w:eastAsia="黑体" w:hAnsi="黑体"/>
          <w:sz w:val="24"/>
          <w:szCs w:val="24"/>
        </w:rPr>
      </w:pPr>
    </w:p>
    <w:p w14:paraId="5F10C1F4" w14:textId="35A1E1A8" w:rsidR="00B45080" w:rsidRPr="0022228A" w:rsidRDefault="0022228A">
      <w:pPr>
        <w:rPr>
          <w:rFonts w:ascii="黑体" w:eastAsia="黑体" w:hAnsi="黑体"/>
          <w:sz w:val="28"/>
          <w:szCs w:val="28"/>
        </w:rPr>
      </w:pPr>
      <w:r w:rsidRPr="0022228A">
        <w:rPr>
          <w:rFonts w:ascii="黑体" w:eastAsia="黑体" w:hAnsi="黑体" w:hint="eastAsia"/>
          <w:sz w:val="28"/>
          <w:szCs w:val="28"/>
        </w:rPr>
        <w:t>问题：A公司是否可以实现对原持有的在</w:t>
      </w:r>
      <w:r w:rsidRPr="0022228A">
        <w:rPr>
          <w:rFonts w:ascii="黑体" w:eastAsia="黑体" w:hAnsi="黑体"/>
          <w:sz w:val="28"/>
          <w:szCs w:val="28"/>
        </w:rPr>
        <w:t>香港设立的SPV</w:t>
      </w:r>
      <w:r w:rsidRPr="0022228A">
        <w:rPr>
          <w:rFonts w:ascii="黑体" w:eastAsia="黑体" w:hAnsi="黑体" w:hint="eastAsia"/>
          <w:sz w:val="28"/>
          <w:szCs w:val="28"/>
        </w:rPr>
        <w:t>，以及</w:t>
      </w:r>
      <w:r w:rsidRPr="0022228A">
        <w:rPr>
          <w:rFonts w:ascii="黑体" w:eastAsia="黑体" w:hAnsi="黑体"/>
          <w:sz w:val="28"/>
          <w:szCs w:val="28"/>
        </w:rPr>
        <w:t>境内18家地产公司</w:t>
      </w:r>
      <w:r w:rsidRPr="0022228A">
        <w:rPr>
          <w:rFonts w:ascii="黑体" w:eastAsia="黑体" w:hAnsi="黑体" w:hint="eastAsia"/>
          <w:sz w:val="28"/>
          <w:szCs w:val="28"/>
        </w:rPr>
        <w:t>出表？</w:t>
      </w:r>
    </w:p>
    <w:p w14:paraId="1C49C5FA" w14:textId="77777777" w:rsidR="0022228A" w:rsidRDefault="0022228A">
      <w:pPr>
        <w:rPr>
          <w:rFonts w:ascii="黑体" w:eastAsia="黑体" w:hAnsi="黑体"/>
          <w:sz w:val="24"/>
          <w:szCs w:val="24"/>
        </w:rPr>
      </w:pPr>
    </w:p>
    <w:p w14:paraId="195F7C74" w14:textId="77777777" w:rsidR="0022228A" w:rsidRDefault="0022228A">
      <w:pPr>
        <w:rPr>
          <w:rFonts w:ascii="黑体" w:eastAsia="黑体" w:hAnsi="黑体"/>
          <w:sz w:val="24"/>
          <w:szCs w:val="24"/>
        </w:rPr>
      </w:pPr>
    </w:p>
    <w:p w14:paraId="5A24C289" w14:textId="77777777" w:rsidR="0022228A" w:rsidRDefault="0022228A">
      <w:pPr>
        <w:rPr>
          <w:rFonts w:ascii="黑体" w:eastAsia="黑体" w:hAnsi="黑体" w:hint="eastAsia"/>
          <w:sz w:val="24"/>
          <w:szCs w:val="24"/>
        </w:rPr>
      </w:pPr>
    </w:p>
    <w:p w14:paraId="33C5F94E" w14:textId="2050D6A7" w:rsidR="00B45080" w:rsidRDefault="00483CEA">
      <w:pPr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项目组</w:t>
      </w:r>
      <w:r w:rsidR="009D2C57">
        <w:rPr>
          <w:rFonts w:ascii="黑体" w:eastAsia="黑体" w:hAnsi="黑体" w:hint="eastAsia"/>
          <w:b/>
          <w:bCs/>
          <w:sz w:val="24"/>
          <w:szCs w:val="24"/>
        </w:rPr>
        <w:t>分析：</w:t>
      </w:r>
    </w:p>
    <w:p w14:paraId="75896672" w14:textId="77777777" w:rsidR="00B45080" w:rsidRDefault="00B45080">
      <w:pPr>
        <w:rPr>
          <w:rFonts w:ascii="黑体" w:eastAsia="黑体" w:hAnsi="黑体" w:hint="eastAsia"/>
          <w:sz w:val="24"/>
          <w:szCs w:val="24"/>
        </w:rPr>
      </w:pPr>
    </w:p>
    <w:p w14:paraId="2C210C5A" w14:textId="77777777" w:rsidR="00B45080" w:rsidRDefault="009D2C5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二、控制三要素分析：</w:t>
      </w:r>
    </w:p>
    <w:p w14:paraId="51E4B83B" w14:textId="77777777" w:rsidR="00B45080" w:rsidRDefault="009D2C5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根据《企业会计准则第</w:t>
      </w:r>
      <w:r>
        <w:rPr>
          <w:rFonts w:ascii="黑体" w:eastAsia="黑体" w:hAnsi="黑体"/>
          <w:sz w:val="24"/>
          <w:szCs w:val="24"/>
        </w:rPr>
        <w:t>33 号——合并财务报表》</w:t>
      </w:r>
      <w:r>
        <w:rPr>
          <w:rFonts w:ascii="黑体" w:eastAsia="黑体" w:hAnsi="黑体" w:hint="eastAsia"/>
          <w:sz w:val="24"/>
          <w:szCs w:val="24"/>
        </w:rPr>
        <w:t>，控制的定义包含三项基本要素：一是投资方拥有对被投资方的权力，二是因参与被投资方的相关活动而享有可变回报，三是有能力运用对被投资方的权力影响其回报金额。在判断投资方是否能够控制被投资方时，当且仅当投资方具备上述三要素时，才能表明投资方能够控制被投资方。</w:t>
      </w:r>
    </w:p>
    <w:p w14:paraId="200EB730" w14:textId="77777777" w:rsidR="00B45080" w:rsidRDefault="00B45080">
      <w:pPr>
        <w:rPr>
          <w:rFonts w:ascii="黑体" w:eastAsia="黑体" w:hAnsi="黑体" w:hint="eastAsia"/>
          <w:sz w:val="24"/>
          <w:szCs w:val="24"/>
        </w:rPr>
      </w:pPr>
    </w:p>
    <w:p w14:paraId="60F07F7A" w14:textId="77777777" w:rsidR="00B45080" w:rsidRDefault="009D2C5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（1）关于可变回报及权力与可变回报的关联性：</w:t>
      </w:r>
    </w:p>
    <w:p w14:paraId="7B00B69A" w14:textId="2A12911C" w:rsidR="00B45080" w:rsidRDefault="009D2C5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A公司方虽然是劣后级，但是不对优先级的本息承担兜底义务，并且A公司的投资比例</w:t>
      </w:r>
      <w:r w:rsidR="00882EE4">
        <w:rPr>
          <w:rFonts w:ascii="黑体" w:eastAsia="黑体" w:hAnsi="黑体" w:hint="eastAsia"/>
          <w:sz w:val="24"/>
          <w:szCs w:val="24"/>
        </w:rPr>
        <w:t>为15</w:t>
      </w:r>
      <w:r>
        <w:rPr>
          <w:rFonts w:ascii="黑体" w:eastAsia="黑体" w:hAnsi="黑体"/>
          <w:sz w:val="24"/>
          <w:szCs w:val="24"/>
        </w:rPr>
        <w:t>%</w:t>
      </w:r>
      <w:r>
        <w:rPr>
          <w:rFonts w:ascii="黑体" w:eastAsia="黑体" w:hAnsi="黑体" w:hint="eastAsia"/>
          <w:sz w:val="24"/>
          <w:szCs w:val="24"/>
        </w:rPr>
        <w:t>，B公司等优先级投资比例达7</w:t>
      </w:r>
      <w:r>
        <w:rPr>
          <w:rFonts w:ascii="黑体" w:eastAsia="黑体" w:hAnsi="黑体"/>
          <w:sz w:val="24"/>
          <w:szCs w:val="24"/>
        </w:rPr>
        <w:t>0%</w:t>
      </w:r>
      <w:r>
        <w:rPr>
          <w:rFonts w:ascii="黑体" w:eastAsia="黑体" w:hAnsi="黑体" w:hint="eastAsia"/>
          <w:sz w:val="24"/>
          <w:szCs w:val="24"/>
        </w:rPr>
        <w:t>，因此A公司和B公司的收益均具有可变动性，并且通过一致决的机制，两方均有能力运用对平台的权力影响回报金额。</w:t>
      </w:r>
    </w:p>
    <w:p w14:paraId="0C4F3B61" w14:textId="77777777" w:rsidR="00B45080" w:rsidRDefault="009D2C5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ab/>
      </w:r>
    </w:p>
    <w:p w14:paraId="2DC4B120" w14:textId="77777777" w:rsidR="00B45080" w:rsidRDefault="009D2C5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</w:t>
      </w:r>
      <w:r>
        <w:rPr>
          <w:rFonts w:ascii="黑体" w:eastAsia="黑体" w:hAnsi="黑体"/>
          <w:sz w:val="24"/>
          <w:szCs w:val="24"/>
        </w:rPr>
        <w:t>2</w:t>
      </w:r>
      <w:r>
        <w:rPr>
          <w:rFonts w:ascii="黑体" w:eastAsia="黑体" w:hAnsi="黑体" w:hint="eastAsia"/>
          <w:sz w:val="24"/>
          <w:szCs w:val="24"/>
        </w:rPr>
        <w:t>）关于A公司是否拥有对被投资方的权力（主导的权力）：</w:t>
      </w:r>
    </w:p>
    <w:p w14:paraId="540C97F0" w14:textId="77777777" w:rsidR="00B45080" w:rsidRDefault="009D2C57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平台的</w:t>
      </w:r>
      <w:r>
        <w:rPr>
          <w:rFonts w:ascii="黑体" w:eastAsia="黑体" w:hAnsi="黑体"/>
          <w:sz w:val="24"/>
          <w:szCs w:val="24"/>
        </w:rPr>
        <w:t>投资决策委员会</w:t>
      </w:r>
      <w:r>
        <w:rPr>
          <w:rFonts w:ascii="黑体" w:eastAsia="黑体" w:hAnsi="黑体" w:hint="eastAsia"/>
          <w:sz w:val="24"/>
          <w:szCs w:val="24"/>
        </w:rPr>
        <w:t>由各L</w:t>
      </w:r>
      <w:r>
        <w:rPr>
          <w:rFonts w:ascii="黑体" w:eastAsia="黑体" w:hAnsi="黑体"/>
          <w:sz w:val="24"/>
          <w:szCs w:val="24"/>
        </w:rPr>
        <w:t>P</w:t>
      </w:r>
      <w:r>
        <w:rPr>
          <w:rFonts w:ascii="黑体" w:eastAsia="黑体" w:hAnsi="黑体" w:hint="eastAsia"/>
          <w:sz w:val="24"/>
          <w:szCs w:val="24"/>
        </w:rPr>
        <w:t>、G</w:t>
      </w:r>
      <w:r>
        <w:rPr>
          <w:rFonts w:ascii="黑体" w:eastAsia="黑体" w:hAnsi="黑体"/>
          <w:sz w:val="24"/>
          <w:szCs w:val="24"/>
        </w:rPr>
        <w:t>P</w:t>
      </w:r>
      <w:r>
        <w:rPr>
          <w:rFonts w:ascii="黑体" w:eastAsia="黑体" w:hAnsi="黑体" w:hint="eastAsia"/>
          <w:sz w:val="24"/>
          <w:szCs w:val="24"/>
        </w:rPr>
        <w:t>委派的委员组成，投资决策委员会所审议的事项需要经过全部委员同意方可通过。因此A公司单方并不拥有更大的权力。此外，在风险预警机制的消除机制中，即使在当触发风险预警A公司希望通过追</w:t>
      </w:r>
      <w:r>
        <w:rPr>
          <w:rFonts w:ascii="黑体" w:eastAsia="黑体" w:hAnsi="黑体"/>
          <w:sz w:val="24"/>
          <w:szCs w:val="24"/>
        </w:rPr>
        <w:t>缴资金用于向优先级</w:t>
      </w:r>
      <w:r>
        <w:rPr>
          <w:rFonts w:ascii="黑体" w:eastAsia="黑体" w:hAnsi="黑体" w:hint="eastAsia"/>
          <w:sz w:val="24"/>
          <w:szCs w:val="24"/>
        </w:rPr>
        <w:t>L</w:t>
      </w:r>
      <w:r>
        <w:rPr>
          <w:rFonts w:ascii="黑体" w:eastAsia="黑体" w:hAnsi="黑体"/>
          <w:sz w:val="24"/>
          <w:szCs w:val="24"/>
        </w:rPr>
        <w:t>P进行分配以消除风险预警</w:t>
      </w:r>
      <w:r>
        <w:rPr>
          <w:rFonts w:ascii="黑体" w:eastAsia="黑体" w:hAnsi="黑体" w:hint="eastAsia"/>
          <w:sz w:val="24"/>
          <w:szCs w:val="24"/>
        </w:rPr>
        <w:t>时，该意愿也需经过B公司的同意方可执行。因此</w:t>
      </w:r>
      <w:proofErr w:type="gramStart"/>
      <w:r>
        <w:rPr>
          <w:rFonts w:ascii="黑体" w:eastAsia="黑体" w:hAnsi="黑体" w:hint="eastAsia"/>
          <w:sz w:val="24"/>
          <w:szCs w:val="24"/>
        </w:rPr>
        <w:t>此处也</w:t>
      </w:r>
      <w:proofErr w:type="gramEnd"/>
      <w:r>
        <w:rPr>
          <w:rFonts w:ascii="黑体" w:eastAsia="黑体" w:hAnsi="黑体" w:hint="eastAsia"/>
          <w:sz w:val="24"/>
          <w:szCs w:val="24"/>
        </w:rPr>
        <w:t>不构成A公司的重大权力。因此，A公司不拥有对平台重大决策的主导权力。</w:t>
      </w:r>
    </w:p>
    <w:p w14:paraId="61130D22" w14:textId="77777777" w:rsidR="00B45080" w:rsidRDefault="00B45080">
      <w:pPr>
        <w:rPr>
          <w:rFonts w:ascii="黑体" w:eastAsia="黑体" w:hAnsi="黑体" w:hint="eastAsia"/>
          <w:sz w:val="24"/>
          <w:szCs w:val="24"/>
        </w:rPr>
      </w:pPr>
    </w:p>
    <w:p w14:paraId="3243F972" w14:textId="5CEC7DB3" w:rsidR="00882328" w:rsidRPr="00483CEA" w:rsidRDefault="009D2C57" w:rsidP="00483CEA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综上，由于A公司不具备对平台重大决策的主导权力，我们初步认为不能同时满足控制三要素，从而A公司无需将平台并表。</w:t>
      </w:r>
      <w:r w:rsidR="00882328">
        <w:rPr>
          <w:rFonts w:ascii="黑体" w:eastAsia="黑体" w:hAnsi="黑体" w:hint="eastAsia"/>
          <w:sz w:val="24"/>
          <w:szCs w:val="24"/>
        </w:rPr>
        <w:t>同时，考虑到实际商业活动中，权力与义务对等的实际情况，一般需进一步分析商业实质的合理性。</w:t>
      </w:r>
    </w:p>
    <w:p w14:paraId="0C651250" w14:textId="77777777" w:rsidR="00171735" w:rsidRDefault="00171735" w:rsidP="00171735">
      <w:pPr>
        <w:widowControl/>
        <w:spacing w:line="432" w:lineRule="auto"/>
        <w:ind w:firstLine="480"/>
        <w:jc w:val="left"/>
        <w:rPr>
          <w:rFonts w:ascii="Arial" w:eastAsia="宋体" w:hAnsi="Arial" w:cs="Arial"/>
          <w:kern w:val="0"/>
          <w:sz w:val="24"/>
          <w:szCs w:val="24"/>
        </w:rPr>
      </w:pPr>
    </w:p>
    <w:p w14:paraId="64491887" w14:textId="7E4D5114" w:rsidR="00171735" w:rsidRPr="00C324F1" w:rsidRDefault="00862722" w:rsidP="00862722">
      <w:pPr>
        <w:rPr>
          <w:rFonts w:ascii="黑体" w:eastAsia="黑体" w:hAnsi="黑体" w:hint="eastAsia"/>
          <w:b/>
          <w:bCs/>
          <w:sz w:val="24"/>
          <w:szCs w:val="24"/>
        </w:rPr>
      </w:pPr>
      <w:r w:rsidRPr="00C324F1">
        <w:rPr>
          <w:rFonts w:ascii="黑体" w:eastAsia="黑体" w:hAnsi="黑体" w:hint="eastAsia"/>
          <w:b/>
          <w:bCs/>
          <w:sz w:val="24"/>
          <w:szCs w:val="24"/>
        </w:rPr>
        <w:t>三、准则依据参考：</w:t>
      </w:r>
    </w:p>
    <w:p w14:paraId="40FFC1B5" w14:textId="77777777" w:rsidR="00862722" w:rsidRPr="00862722" w:rsidRDefault="00862722" w:rsidP="00862722">
      <w:pPr>
        <w:rPr>
          <w:rFonts w:ascii="黑体" w:eastAsia="黑体" w:hAnsi="黑体" w:hint="eastAsia"/>
          <w:sz w:val="24"/>
          <w:szCs w:val="24"/>
        </w:rPr>
      </w:pPr>
    </w:p>
    <w:p w14:paraId="223C82C6" w14:textId="4D7B8507" w:rsidR="00862722" w:rsidRPr="00862722" w:rsidRDefault="00862722" w:rsidP="00862722">
      <w:pPr>
        <w:rPr>
          <w:rFonts w:ascii="黑体" w:eastAsia="黑体" w:hAnsi="黑体" w:hint="eastAsia"/>
          <w:sz w:val="24"/>
          <w:szCs w:val="24"/>
        </w:rPr>
      </w:pPr>
      <w:r w:rsidRPr="00862722">
        <w:rPr>
          <w:rFonts w:ascii="黑体" w:eastAsia="黑体" w:hAnsi="黑体" w:hint="eastAsia"/>
          <w:sz w:val="24"/>
          <w:szCs w:val="24"/>
        </w:rPr>
        <w:t>判断准则</w:t>
      </w:r>
      <w:r>
        <w:rPr>
          <w:rFonts w:ascii="黑体" w:eastAsia="黑体" w:hAnsi="黑体" w:hint="eastAsia"/>
          <w:sz w:val="24"/>
          <w:szCs w:val="24"/>
        </w:rPr>
        <w:t>依据</w:t>
      </w:r>
      <w:r w:rsidRPr="00862722">
        <w:rPr>
          <w:rFonts w:ascii="黑体" w:eastAsia="黑体" w:hAnsi="黑体" w:hint="eastAsia"/>
          <w:sz w:val="24"/>
          <w:szCs w:val="24"/>
        </w:rPr>
        <w:t>：</w:t>
      </w:r>
      <w:r w:rsidRPr="00862722">
        <w:rPr>
          <w:rFonts w:ascii="黑体" w:eastAsia="黑体" w:hAnsi="黑体" w:hint="eastAsia"/>
          <w:b/>
          <w:bCs/>
          <w:sz w:val="24"/>
          <w:szCs w:val="24"/>
        </w:rPr>
        <w:t>《企业会计准则第 33 号 —— 合并财务报表》</w:t>
      </w:r>
      <w:r w:rsidRPr="00862722">
        <w:rPr>
          <w:rFonts w:ascii="黑体" w:eastAsia="黑体" w:hAnsi="黑体" w:hint="eastAsia"/>
          <w:sz w:val="24"/>
          <w:szCs w:val="24"/>
        </w:rPr>
        <w:t>（CAS 33，2014 修订）</w:t>
      </w:r>
    </w:p>
    <w:p w14:paraId="06719A3C" w14:textId="77777777" w:rsidR="00862722" w:rsidRPr="00862722" w:rsidRDefault="00862722" w:rsidP="00862722">
      <w:pPr>
        <w:rPr>
          <w:rFonts w:ascii="黑体" w:eastAsia="黑体" w:hAnsi="黑体" w:hint="eastAsia"/>
          <w:sz w:val="24"/>
          <w:szCs w:val="24"/>
        </w:rPr>
      </w:pPr>
    </w:p>
    <w:p w14:paraId="2B3DECDD" w14:textId="77777777" w:rsidR="00862722" w:rsidRPr="00862722" w:rsidRDefault="00862722" w:rsidP="00862722">
      <w:pPr>
        <w:rPr>
          <w:rFonts w:ascii="黑体" w:eastAsia="黑体" w:hAnsi="黑体" w:hint="eastAsia"/>
          <w:sz w:val="24"/>
          <w:szCs w:val="24"/>
        </w:rPr>
      </w:pPr>
    </w:p>
    <w:p w14:paraId="01B4A5BE" w14:textId="4341038F" w:rsidR="00862722" w:rsidRPr="00862722" w:rsidRDefault="00862722" w:rsidP="00862722">
      <w:pPr>
        <w:rPr>
          <w:rFonts w:ascii="黑体" w:eastAsia="黑体" w:hAnsi="黑体" w:hint="eastAsia"/>
          <w:b/>
          <w:bCs/>
          <w:sz w:val="24"/>
          <w:szCs w:val="24"/>
        </w:rPr>
      </w:pPr>
      <w:r w:rsidRPr="00862722">
        <w:rPr>
          <w:rFonts w:ascii="黑体" w:eastAsia="黑体" w:hAnsi="黑体" w:hint="eastAsia"/>
          <w:b/>
          <w:bCs/>
          <w:sz w:val="24"/>
          <w:szCs w:val="24"/>
        </w:rPr>
        <w:t>控制三要素（同时满足才需要合并）</w:t>
      </w:r>
    </w:p>
    <w:p w14:paraId="0A471A22" w14:textId="77777777" w:rsidR="00862722" w:rsidRPr="00862722" w:rsidRDefault="00862722" w:rsidP="00862722">
      <w:pPr>
        <w:rPr>
          <w:rFonts w:ascii="黑体" w:eastAsia="黑体" w:hAnsi="黑体" w:hint="eastAsia"/>
          <w:sz w:val="24"/>
          <w:szCs w:val="24"/>
        </w:rPr>
      </w:pPr>
    </w:p>
    <w:p w14:paraId="64C22EFE" w14:textId="4D538E19" w:rsidR="00862722" w:rsidRPr="00862722" w:rsidRDefault="00862722" w:rsidP="00862722">
      <w:pPr>
        <w:rPr>
          <w:rFonts w:ascii="黑体" w:eastAsia="黑体" w:hAnsi="黑体" w:hint="eastAsia"/>
          <w:sz w:val="24"/>
          <w:szCs w:val="24"/>
        </w:rPr>
      </w:pPr>
      <w:r w:rsidRPr="00862722">
        <w:rPr>
          <w:rFonts w:ascii="黑体" w:eastAsia="黑体" w:hAnsi="黑体" w:hint="eastAsia"/>
          <w:sz w:val="24"/>
          <w:szCs w:val="24"/>
        </w:rPr>
        <w:t>1. 拥有对被投资方的权力；</w:t>
      </w:r>
    </w:p>
    <w:p w14:paraId="0891B04B" w14:textId="3C916299" w:rsidR="00862722" w:rsidRPr="00862722" w:rsidRDefault="00862722" w:rsidP="00862722">
      <w:pPr>
        <w:rPr>
          <w:rFonts w:ascii="黑体" w:eastAsia="黑体" w:hAnsi="黑体" w:hint="eastAsia"/>
          <w:sz w:val="24"/>
          <w:szCs w:val="24"/>
        </w:rPr>
      </w:pPr>
      <w:r w:rsidRPr="00862722">
        <w:rPr>
          <w:rFonts w:ascii="黑体" w:eastAsia="黑体" w:hAnsi="黑体" w:hint="eastAsia"/>
          <w:sz w:val="24"/>
          <w:szCs w:val="24"/>
        </w:rPr>
        <w:t>2. 通过参与享有可变回报；</w:t>
      </w:r>
    </w:p>
    <w:p w14:paraId="5824D242" w14:textId="77777777" w:rsidR="00862722" w:rsidRPr="00862722" w:rsidRDefault="00862722" w:rsidP="00862722">
      <w:pPr>
        <w:rPr>
          <w:rFonts w:ascii="黑体" w:eastAsia="黑体" w:hAnsi="黑体" w:hint="eastAsia"/>
          <w:sz w:val="24"/>
          <w:szCs w:val="24"/>
        </w:rPr>
      </w:pPr>
      <w:r w:rsidRPr="00862722">
        <w:rPr>
          <w:rFonts w:ascii="黑体" w:eastAsia="黑体" w:hAnsi="黑体" w:hint="eastAsia"/>
          <w:sz w:val="24"/>
          <w:szCs w:val="24"/>
        </w:rPr>
        <w:t>3. 能够运用权力影响回报金额。</w:t>
      </w:r>
    </w:p>
    <w:p w14:paraId="17A323D7" w14:textId="77777777" w:rsidR="00862722" w:rsidRPr="00862722" w:rsidRDefault="00862722" w:rsidP="00862722">
      <w:pPr>
        <w:rPr>
          <w:rFonts w:ascii="黑体" w:eastAsia="黑体" w:hAnsi="黑体" w:hint="eastAsia"/>
          <w:sz w:val="24"/>
          <w:szCs w:val="24"/>
        </w:rPr>
      </w:pPr>
    </w:p>
    <w:p w14:paraId="2E2D6B55" w14:textId="3F5372EB" w:rsidR="00862722" w:rsidRPr="00862722" w:rsidRDefault="00862722" w:rsidP="00862722">
      <w:pPr>
        <w:rPr>
          <w:rFonts w:ascii="黑体" w:eastAsia="黑体" w:hAnsi="黑体" w:hint="eastAsia"/>
          <w:sz w:val="24"/>
          <w:szCs w:val="24"/>
        </w:rPr>
      </w:pPr>
      <w:r w:rsidRPr="00862722">
        <w:rPr>
          <w:rFonts w:ascii="黑体" w:eastAsia="黑体" w:hAnsi="黑体" w:hint="eastAsia"/>
          <w:sz w:val="24"/>
          <w:szCs w:val="24"/>
        </w:rPr>
        <w:t>配套指引与解释文件</w:t>
      </w:r>
    </w:p>
    <w:p w14:paraId="1F7B6C81" w14:textId="77777777" w:rsidR="00862722" w:rsidRPr="00862722" w:rsidRDefault="00862722" w:rsidP="00862722">
      <w:pPr>
        <w:rPr>
          <w:rFonts w:ascii="黑体" w:eastAsia="黑体" w:hAnsi="黑体" w:hint="eastAsia"/>
          <w:sz w:val="24"/>
          <w:szCs w:val="24"/>
        </w:rPr>
      </w:pPr>
    </w:p>
    <w:p w14:paraId="5CFE556C" w14:textId="407FD50D" w:rsidR="00862722" w:rsidRDefault="00862722" w:rsidP="00862722">
      <w:pPr>
        <w:rPr>
          <w:rFonts w:ascii="黑体" w:eastAsia="黑体" w:hAnsi="黑体" w:hint="eastAsia"/>
          <w:sz w:val="24"/>
          <w:szCs w:val="24"/>
        </w:rPr>
      </w:pPr>
      <w:r w:rsidRPr="00862722">
        <w:rPr>
          <w:rFonts w:ascii="黑体" w:eastAsia="黑体" w:hAnsi="黑体" w:hint="eastAsia"/>
          <w:sz w:val="24"/>
          <w:szCs w:val="24"/>
        </w:rPr>
        <w:lastRenderedPageBreak/>
        <w:t>CAS33 应用指南</w:t>
      </w:r>
    </w:p>
    <w:p w14:paraId="0EEB9BB3" w14:textId="77777777" w:rsidR="00862722" w:rsidRPr="00862722" w:rsidRDefault="00862722" w:rsidP="00862722">
      <w:pPr>
        <w:rPr>
          <w:rFonts w:ascii="黑体" w:eastAsia="黑体" w:hAnsi="黑体" w:hint="eastAsia"/>
          <w:sz w:val="24"/>
          <w:szCs w:val="24"/>
        </w:rPr>
      </w:pPr>
    </w:p>
    <w:p w14:paraId="7E8386C0" w14:textId="2A7ABA65" w:rsidR="00862722" w:rsidRPr="00862722" w:rsidRDefault="00862722" w:rsidP="00862722">
      <w:pPr>
        <w:rPr>
          <w:rFonts w:ascii="黑体" w:eastAsia="黑体" w:hAnsi="黑体" w:hint="eastAsia"/>
          <w:sz w:val="24"/>
          <w:szCs w:val="24"/>
        </w:rPr>
      </w:pPr>
      <w:r w:rsidRPr="00862722">
        <w:rPr>
          <w:rFonts w:ascii="黑体" w:eastAsia="黑体" w:hAnsi="黑体" w:hint="eastAsia"/>
          <w:sz w:val="24"/>
          <w:szCs w:val="24"/>
        </w:rPr>
        <w:t>专门提及结构化主体定义：结构化主体，是在确定控制方时未将表决权作为决定因素而设计的主体，典型：证券化载体、</w:t>
      </w:r>
      <w:proofErr w:type="gramStart"/>
      <w:r w:rsidRPr="00862722">
        <w:rPr>
          <w:rFonts w:ascii="黑体" w:eastAsia="黑体" w:hAnsi="黑体" w:hint="eastAsia"/>
          <w:sz w:val="24"/>
          <w:szCs w:val="24"/>
        </w:rPr>
        <w:t>资管产品</w:t>
      </w:r>
      <w:proofErr w:type="gramEnd"/>
      <w:r w:rsidRPr="00862722">
        <w:rPr>
          <w:rFonts w:ascii="黑体" w:eastAsia="黑体" w:hAnsi="黑体" w:hint="eastAsia"/>
          <w:sz w:val="24"/>
          <w:szCs w:val="24"/>
        </w:rPr>
        <w:t>、基金、合伙企业（契约主导型）。</w:t>
      </w:r>
    </w:p>
    <w:p w14:paraId="7E93E5C0" w14:textId="77777777" w:rsidR="00171735" w:rsidRDefault="00171735" w:rsidP="00171735">
      <w:pPr>
        <w:widowControl/>
        <w:spacing w:line="432" w:lineRule="auto"/>
        <w:ind w:firstLine="480"/>
        <w:jc w:val="left"/>
        <w:rPr>
          <w:rFonts w:ascii="Arial" w:eastAsia="宋体" w:hAnsi="Arial" w:cs="Arial"/>
          <w:kern w:val="0"/>
          <w:sz w:val="24"/>
          <w:szCs w:val="24"/>
        </w:rPr>
      </w:pPr>
    </w:p>
    <w:p w14:paraId="1661E7B5" w14:textId="77777777" w:rsidR="00171735" w:rsidRDefault="00171735" w:rsidP="00171735">
      <w:pPr>
        <w:widowControl/>
        <w:spacing w:line="432" w:lineRule="auto"/>
        <w:ind w:firstLine="480"/>
        <w:jc w:val="left"/>
        <w:rPr>
          <w:rFonts w:ascii="Arial" w:eastAsia="宋体" w:hAnsi="Arial" w:cs="Arial"/>
          <w:kern w:val="0"/>
          <w:sz w:val="24"/>
          <w:szCs w:val="24"/>
        </w:rPr>
      </w:pPr>
    </w:p>
    <w:p w14:paraId="1448DA9E" w14:textId="77777777" w:rsidR="00171735" w:rsidRDefault="00171735" w:rsidP="00171735">
      <w:pPr>
        <w:widowControl/>
        <w:spacing w:line="432" w:lineRule="auto"/>
        <w:ind w:firstLine="480"/>
        <w:jc w:val="left"/>
        <w:rPr>
          <w:rFonts w:ascii="Arial" w:eastAsia="宋体" w:hAnsi="Arial" w:cs="Arial"/>
          <w:kern w:val="0"/>
          <w:sz w:val="24"/>
          <w:szCs w:val="24"/>
        </w:rPr>
      </w:pPr>
    </w:p>
    <w:p w14:paraId="1034B628" w14:textId="60479765" w:rsidR="003A2533" w:rsidRPr="003A2533" w:rsidRDefault="003A2533">
      <w:pPr>
        <w:rPr>
          <w:rFonts w:ascii="黑体" w:eastAsia="黑体" w:hAnsi="黑体" w:hint="eastAsia"/>
          <w:b/>
          <w:bCs/>
          <w:sz w:val="24"/>
          <w:szCs w:val="24"/>
        </w:rPr>
      </w:pPr>
    </w:p>
    <w:sectPr w:rsidR="003A2533" w:rsidRPr="003A25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B8562" w14:textId="77777777" w:rsidR="00525D1F" w:rsidRDefault="00525D1F" w:rsidP="003A2533">
      <w:pPr>
        <w:rPr>
          <w:rFonts w:hint="eastAsia"/>
        </w:rPr>
      </w:pPr>
      <w:r>
        <w:separator/>
      </w:r>
    </w:p>
  </w:endnote>
  <w:endnote w:type="continuationSeparator" w:id="0">
    <w:p w14:paraId="291EA40A" w14:textId="77777777" w:rsidR="00525D1F" w:rsidRDefault="00525D1F" w:rsidP="003A253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EF093" w14:textId="77777777" w:rsidR="00525D1F" w:rsidRDefault="00525D1F" w:rsidP="003A2533">
      <w:pPr>
        <w:rPr>
          <w:rFonts w:hint="eastAsia"/>
        </w:rPr>
      </w:pPr>
      <w:r>
        <w:separator/>
      </w:r>
    </w:p>
  </w:footnote>
  <w:footnote w:type="continuationSeparator" w:id="0">
    <w:p w14:paraId="2104812E" w14:textId="77777777" w:rsidR="00525D1F" w:rsidRDefault="00525D1F" w:rsidP="003A253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58A3"/>
    <w:multiLevelType w:val="multilevel"/>
    <w:tmpl w:val="60483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51203"/>
    <w:multiLevelType w:val="multilevel"/>
    <w:tmpl w:val="0E551203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8942E9"/>
    <w:multiLevelType w:val="hybridMultilevel"/>
    <w:tmpl w:val="BE2AC634"/>
    <w:lvl w:ilvl="0" w:tplc="C1D246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7338488">
    <w:abstractNumId w:val="1"/>
  </w:num>
  <w:num w:numId="2" w16cid:durableId="1176000850">
    <w:abstractNumId w:val="2"/>
  </w:num>
  <w:num w:numId="3" w16cid:durableId="1043946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B3"/>
    <w:rsid w:val="00030CCB"/>
    <w:rsid w:val="00071913"/>
    <w:rsid w:val="000A1F7E"/>
    <w:rsid w:val="000D5E7A"/>
    <w:rsid w:val="001504C4"/>
    <w:rsid w:val="00171735"/>
    <w:rsid w:val="0018006B"/>
    <w:rsid w:val="0022228A"/>
    <w:rsid w:val="00235FD6"/>
    <w:rsid w:val="00270615"/>
    <w:rsid w:val="00272F33"/>
    <w:rsid w:val="00294F01"/>
    <w:rsid w:val="003127A7"/>
    <w:rsid w:val="00333C46"/>
    <w:rsid w:val="00343558"/>
    <w:rsid w:val="003A2533"/>
    <w:rsid w:val="003A29EA"/>
    <w:rsid w:val="003C239F"/>
    <w:rsid w:val="00431914"/>
    <w:rsid w:val="0047724C"/>
    <w:rsid w:val="00483CEA"/>
    <w:rsid w:val="004B7B6C"/>
    <w:rsid w:val="004F5EA9"/>
    <w:rsid w:val="00504B04"/>
    <w:rsid w:val="005142F8"/>
    <w:rsid w:val="0052384F"/>
    <w:rsid w:val="00525D1F"/>
    <w:rsid w:val="0054027F"/>
    <w:rsid w:val="00585479"/>
    <w:rsid w:val="005965FB"/>
    <w:rsid w:val="005D7199"/>
    <w:rsid w:val="005E37A6"/>
    <w:rsid w:val="00680FA9"/>
    <w:rsid w:val="006863FB"/>
    <w:rsid w:val="006910D4"/>
    <w:rsid w:val="006B43A1"/>
    <w:rsid w:val="006D5A91"/>
    <w:rsid w:val="007066BD"/>
    <w:rsid w:val="00731E5D"/>
    <w:rsid w:val="007525D3"/>
    <w:rsid w:val="007625BF"/>
    <w:rsid w:val="007811B0"/>
    <w:rsid w:val="00795B57"/>
    <w:rsid w:val="007A7741"/>
    <w:rsid w:val="007B1CB3"/>
    <w:rsid w:val="00816AF2"/>
    <w:rsid w:val="0086236A"/>
    <w:rsid w:val="00862722"/>
    <w:rsid w:val="00875728"/>
    <w:rsid w:val="00882328"/>
    <w:rsid w:val="00882EE4"/>
    <w:rsid w:val="00897E5C"/>
    <w:rsid w:val="008D7B18"/>
    <w:rsid w:val="00936479"/>
    <w:rsid w:val="00981F59"/>
    <w:rsid w:val="009831E4"/>
    <w:rsid w:val="009A796A"/>
    <w:rsid w:val="009D2C57"/>
    <w:rsid w:val="009D2DF3"/>
    <w:rsid w:val="00A25DC2"/>
    <w:rsid w:val="00A5529B"/>
    <w:rsid w:val="00B45080"/>
    <w:rsid w:val="00B5324B"/>
    <w:rsid w:val="00BC797D"/>
    <w:rsid w:val="00BF3680"/>
    <w:rsid w:val="00BF5E75"/>
    <w:rsid w:val="00C324F1"/>
    <w:rsid w:val="00C93781"/>
    <w:rsid w:val="00D6229D"/>
    <w:rsid w:val="00D65ADC"/>
    <w:rsid w:val="00D911AA"/>
    <w:rsid w:val="00D92F32"/>
    <w:rsid w:val="00DB38C8"/>
    <w:rsid w:val="00DB7E2C"/>
    <w:rsid w:val="00DC25DB"/>
    <w:rsid w:val="00E81CC3"/>
    <w:rsid w:val="00F03C71"/>
    <w:rsid w:val="00F17836"/>
    <w:rsid w:val="00F76B80"/>
    <w:rsid w:val="00FE13C9"/>
    <w:rsid w:val="00FF7620"/>
    <w:rsid w:val="40E3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D02D8"/>
  <w15:docId w15:val="{4223435E-4BA5-4BC9-9A11-A33B9188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6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1018</Words>
  <Characters>1070</Characters>
  <Application>Microsoft Office Word</Application>
  <DocSecurity>0</DocSecurity>
  <Lines>62</Lines>
  <Paragraphs>34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安硕用户</dc:creator>
  <cp:keywords/>
  <dc:description/>
  <cp:lastModifiedBy>超</cp:lastModifiedBy>
  <cp:revision>5</cp:revision>
  <dcterms:created xsi:type="dcterms:W3CDTF">2026-07-24T07:28:00Z</dcterms:created>
  <dcterms:modified xsi:type="dcterms:W3CDTF">2026-07-25T03:11:00Z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eyJoZGlkIjoiNTRmMjAyM2E4MGY3N2YzNmNiOGEzOTE1YjIyYjA5ODIifQ==</vt:lpwstr>
  </property>
  <property fmtid="{D5CDD505-2E9C-101B-9397-08002B2CF9AE}" pid="3" name="KSOProductBuildVer">
    <vt:lpwstr>2052-12.1.0.26884</vt:lpwstr>
  </property>
  <property fmtid="{D5CDD505-2E9C-101B-9397-08002B2CF9AE}" pid="4" name="ICV">
    <vt:lpwstr>DFA370E7482E4F3E96A8A94F2DAAB62B_12</vt:lpwstr>
  </property>
</Properties>
</file>