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CADB" w14:textId="77777777" w:rsidR="00407F6A" w:rsidRDefault="00B225BA">
      <w:pPr>
        <w:spacing w:line="360" w:lineRule="auto"/>
        <w:ind w:firstLineChars="200" w:firstLine="562"/>
        <w:jc w:val="center"/>
        <w:rPr>
          <w:rFonts w:ascii="宋体" w:eastAsia="宋体" w:hAnsi="宋体" w:hint="eastAsia"/>
          <w:b/>
          <w:sz w:val="28"/>
          <w:szCs w:val="28"/>
        </w:rPr>
      </w:pPr>
      <w:r>
        <w:rPr>
          <w:rFonts w:ascii="宋体" w:eastAsia="宋体" w:hAnsi="宋体" w:hint="eastAsia"/>
          <w:b/>
          <w:sz w:val="28"/>
          <w:szCs w:val="28"/>
        </w:rPr>
        <w:t>业务研讨会议题</w:t>
      </w:r>
    </w:p>
    <w:p w14:paraId="11C647BA" w14:textId="77777777" w:rsidR="00407F6A" w:rsidRDefault="00B225BA">
      <w:pPr>
        <w:spacing w:line="360" w:lineRule="auto"/>
        <w:ind w:firstLineChars="200" w:firstLine="482"/>
        <w:jc w:val="left"/>
        <w:rPr>
          <w:rFonts w:ascii="宋体" w:eastAsia="宋体" w:hAnsi="宋体" w:hint="eastAsia"/>
          <w:b/>
          <w:sz w:val="24"/>
        </w:rPr>
      </w:pPr>
      <w:r>
        <w:rPr>
          <w:rFonts w:ascii="宋体" w:eastAsia="宋体" w:hAnsi="宋体" w:hint="eastAsia"/>
          <w:b/>
          <w:sz w:val="24"/>
        </w:rPr>
        <w:t>审计7部</w:t>
      </w:r>
    </w:p>
    <w:p w14:paraId="60401C37" w14:textId="77777777" w:rsidR="00407F6A" w:rsidRDefault="00B225BA">
      <w:pPr>
        <w:spacing w:line="360" w:lineRule="auto"/>
        <w:ind w:firstLineChars="200" w:firstLine="482"/>
        <w:jc w:val="left"/>
        <w:rPr>
          <w:rFonts w:ascii="宋体" w:eastAsia="宋体" w:hAnsi="宋体" w:hint="eastAsia"/>
          <w:b/>
          <w:sz w:val="24"/>
        </w:rPr>
      </w:pPr>
      <w:r>
        <w:rPr>
          <w:rFonts w:ascii="宋体" w:eastAsia="宋体" w:hAnsi="宋体" w:hint="eastAsia"/>
          <w:b/>
          <w:sz w:val="24"/>
        </w:rPr>
        <w:t>案例1：关于未达预定可使用状态的融资租赁标的物账务处理问题</w:t>
      </w:r>
    </w:p>
    <w:p w14:paraId="29DC6B8C" w14:textId="77777777" w:rsidR="00407F6A" w:rsidRDefault="00B225BA">
      <w:pPr>
        <w:spacing w:line="360" w:lineRule="auto"/>
        <w:ind w:firstLineChars="200" w:firstLine="482"/>
        <w:jc w:val="left"/>
        <w:rPr>
          <w:rFonts w:ascii="宋体" w:eastAsia="宋体" w:hAnsi="宋体" w:hint="eastAsia"/>
          <w:b/>
          <w:sz w:val="24"/>
        </w:rPr>
      </w:pPr>
      <w:r>
        <w:rPr>
          <w:rFonts w:ascii="宋体" w:eastAsia="宋体" w:hAnsi="宋体" w:hint="eastAsia"/>
          <w:b/>
          <w:sz w:val="24"/>
        </w:rPr>
        <w:t>一、案例背景</w:t>
      </w:r>
    </w:p>
    <w:p w14:paraId="3D854E99"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A公司为制造业企业，B公司为融资租赁公司，C公司为设备供应商。</w:t>
      </w:r>
    </w:p>
    <w:p w14:paraId="3D023A26"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2024年10月，A公司与B公司签订融资租赁合同，约定由B公司出资购买C公司生产的M设备（该设备预计使用年限为10年），并将该设备租赁给A公司。合同约定：起租日为2024年11月20日，租金总额为300万元，其中租赁本金270万元，利息30万元；租赁期为三年，共分12期支付租金，每三个月为一期。首期租金已于2024年11月20日支付。租赁期满后，A公司有权以100元的价格购买M设备。</w:t>
      </w:r>
    </w:p>
    <w:p w14:paraId="5240346E"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B公司于2024年12月将设备款支付给C公司。</w:t>
      </w:r>
      <w:r w:rsidRPr="00F142A8">
        <w:rPr>
          <w:rFonts w:ascii="宋体" w:eastAsia="宋体" w:hAnsi="宋体" w:hint="eastAsia"/>
          <w:bCs/>
          <w:color w:val="FF0000"/>
          <w:sz w:val="24"/>
        </w:rPr>
        <w:t>M设备于2025年7月运抵A公司，双方签署了交货验收单</w:t>
      </w:r>
      <w:r>
        <w:rPr>
          <w:rFonts w:ascii="宋体" w:eastAsia="宋体" w:hAnsi="宋体" w:hint="eastAsia"/>
          <w:bCs/>
          <w:sz w:val="24"/>
        </w:rPr>
        <w:t>。由于该设备需与其他设备进行联动调试参数，A公司收到租赁物后并未立即使用，直至2025年11月，该设备所在产线才达到预定可使用状态。</w:t>
      </w:r>
    </w:p>
    <w:p w14:paraId="1B46A6AE" w14:textId="77777777" w:rsidR="00AD05EB" w:rsidRDefault="00AD05EB">
      <w:pPr>
        <w:spacing w:line="360" w:lineRule="auto"/>
        <w:ind w:firstLineChars="200" w:firstLine="480"/>
        <w:rPr>
          <w:rFonts w:ascii="宋体" w:eastAsia="宋体" w:hAnsi="宋体" w:hint="eastAsia"/>
          <w:bCs/>
          <w:sz w:val="24"/>
        </w:rPr>
      </w:pPr>
    </w:p>
    <w:p w14:paraId="7D22C0DB" w14:textId="77777777" w:rsidR="00407F6A" w:rsidRDefault="00B225BA">
      <w:pPr>
        <w:spacing w:line="360" w:lineRule="auto"/>
        <w:ind w:firstLineChars="200" w:firstLine="482"/>
        <w:jc w:val="left"/>
        <w:rPr>
          <w:rFonts w:ascii="宋体" w:eastAsia="宋体" w:hAnsi="宋体" w:hint="eastAsia"/>
          <w:b/>
          <w:sz w:val="24"/>
        </w:rPr>
      </w:pPr>
      <w:r>
        <w:rPr>
          <w:rFonts w:ascii="宋体" w:eastAsia="宋体" w:hAnsi="宋体" w:hint="eastAsia"/>
          <w:b/>
          <w:sz w:val="24"/>
        </w:rPr>
        <w:t>二、问题</w:t>
      </w:r>
    </w:p>
    <w:p w14:paraId="68F97641" w14:textId="7244C1E0"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1、应在哪个时点确认使用权资产？在确认使用权资产之前已支付的租金应如何进行会计处理？</w:t>
      </w:r>
    </w:p>
    <w:p w14:paraId="2ECB54CE" w14:textId="2DFDD76F" w:rsidR="00C95695" w:rsidRDefault="00C95695" w:rsidP="00C95695">
      <w:pPr>
        <w:pStyle w:val="aa"/>
        <w:spacing w:before="156" w:line="240" w:lineRule="atLeast"/>
        <w:ind w:firstLine="482"/>
        <w:jc w:val="both"/>
      </w:pPr>
      <w:r w:rsidRPr="00C95695">
        <w:rPr>
          <w:rFonts w:hint="eastAsia"/>
        </w:rPr>
        <w:t>关于租赁开始日的认定，项目组内部存在以下两种分歧意见：</w:t>
      </w:r>
    </w:p>
    <w:p w14:paraId="1C9424E5" w14:textId="697B3F03" w:rsidR="00C95695" w:rsidRDefault="00C95695" w:rsidP="00C95695">
      <w:pPr>
        <w:pStyle w:val="aa"/>
        <w:spacing w:before="156" w:line="240" w:lineRule="atLeast"/>
        <w:ind w:firstLine="482"/>
        <w:jc w:val="both"/>
      </w:pPr>
      <w:r>
        <w:rPr>
          <w:rFonts w:hint="eastAsia"/>
        </w:rPr>
        <w:t>观点一（主张</w:t>
      </w:r>
      <w:r>
        <w:rPr>
          <w:rFonts w:hint="eastAsia"/>
        </w:rPr>
        <w:t>2025</w:t>
      </w:r>
      <w:r>
        <w:rPr>
          <w:rFonts w:hint="eastAsia"/>
        </w:rPr>
        <w:t>年</w:t>
      </w:r>
      <w:r>
        <w:rPr>
          <w:rFonts w:hint="eastAsia"/>
        </w:rPr>
        <w:t>7</w:t>
      </w:r>
      <w:r>
        <w:rPr>
          <w:rFonts w:hint="eastAsia"/>
        </w:rPr>
        <w:t>月确认）认为：</w:t>
      </w:r>
      <w:r>
        <w:rPr>
          <w:rFonts w:hint="eastAsia"/>
        </w:rPr>
        <w:t xml:space="preserve"> </w:t>
      </w:r>
      <w:r>
        <w:rPr>
          <w:rFonts w:hint="eastAsia"/>
        </w:rPr>
        <w:t>公司已于</w:t>
      </w:r>
      <w:r>
        <w:rPr>
          <w:rFonts w:hint="eastAsia"/>
        </w:rPr>
        <w:t>2025</w:t>
      </w:r>
      <w:r>
        <w:rPr>
          <w:rFonts w:hint="eastAsia"/>
        </w:rPr>
        <w:t>年</w:t>
      </w:r>
      <w:r>
        <w:rPr>
          <w:rFonts w:hint="eastAsia"/>
        </w:rPr>
        <w:t>7</w:t>
      </w:r>
      <w:r>
        <w:rPr>
          <w:rFonts w:hint="eastAsia"/>
        </w:rPr>
        <w:t>月取得设备实物并签署交货验收单，且租赁合同未就设备安装调试作出特别约定。根据《企业会计准则第</w:t>
      </w:r>
      <w:r>
        <w:rPr>
          <w:rFonts w:hint="eastAsia"/>
        </w:rPr>
        <w:t>21</w:t>
      </w:r>
      <w:r>
        <w:rPr>
          <w:rFonts w:hint="eastAsia"/>
        </w:rPr>
        <w:t>号——租赁》关于“控制权转移”的判断标准，公司在签署验收单后已实质上取得该设备的使用权并主导其使用，故应于</w:t>
      </w:r>
      <w:r>
        <w:rPr>
          <w:rFonts w:hint="eastAsia"/>
        </w:rPr>
        <w:t>2025</w:t>
      </w:r>
      <w:r>
        <w:rPr>
          <w:rFonts w:hint="eastAsia"/>
        </w:rPr>
        <w:t>年</w:t>
      </w:r>
      <w:r>
        <w:rPr>
          <w:rFonts w:hint="eastAsia"/>
        </w:rPr>
        <w:t>7</w:t>
      </w:r>
      <w:r>
        <w:rPr>
          <w:rFonts w:hint="eastAsia"/>
        </w:rPr>
        <w:t>月确认使用权资产。</w:t>
      </w:r>
    </w:p>
    <w:p w14:paraId="6AA906C1" w14:textId="24F1076D" w:rsidR="004478C3" w:rsidRDefault="00C95695" w:rsidP="00C95695">
      <w:pPr>
        <w:pStyle w:val="aa"/>
        <w:spacing w:before="156" w:line="240" w:lineRule="atLeast"/>
        <w:ind w:firstLine="482"/>
        <w:jc w:val="both"/>
      </w:pPr>
      <w:r>
        <w:rPr>
          <w:rFonts w:hint="eastAsia"/>
        </w:rPr>
        <w:t>观点二（主张</w:t>
      </w:r>
      <w:r>
        <w:rPr>
          <w:rFonts w:hint="eastAsia"/>
        </w:rPr>
        <w:t>2025</w:t>
      </w:r>
      <w:r>
        <w:rPr>
          <w:rFonts w:hint="eastAsia"/>
        </w:rPr>
        <w:t>年</w:t>
      </w:r>
      <w:r>
        <w:rPr>
          <w:rFonts w:hint="eastAsia"/>
        </w:rPr>
        <w:t>11</w:t>
      </w:r>
      <w:r>
        <w:rPr>
          <w:rFonts w:hint="eastAsia"/>
        </w:rPr>
        <w:t>月确认）认为：</w:t>
      </w:r>
      <w:r>
        <w:rPr>
          <w:rFonts w:hint="eastAsia"/>
        </w:rPr>
        <w:t xml:space="preserve"> </w:t>
      </w:r>
      <w:r>
        <w:rPr>
          <w:rFonts w:hint="eastAsia"/>
        </w:rPr>
        <w:t>租赁物</w:t>
      </w:r>
      <w:r>
        <w:rPr>
          <w:rFonts w:hint="eastAsia"/>
        </w:rPr>
        <w:t>W</w:t>
      </w:r>
      <w:r>
        <w:rPr>
          <w:rFonts w:hint="eastAsia"/>
        </w:rPr>
        <w:t>设备系由多个小型设备组合而成的系统性生产装置，虽于</w:t>
      </w:r>
      <w:r>
        <w:rPr>
          <w:rFonts w:hint="eastAsia"/>
        </w:rPr>
        <w:t>2025</w:t>
      </w:r>
      <w:r>
        <w:rPr>
          <w:rFonts w:hint="eastAsia"/>
        </w:rPr>
        <w:t>年</w:t>
      </w:r>
      <w:r>
        <w:rPr>
          <w:rFonts w:hint="eastAsia"/>
        </w:rPr>
        <w:t>7</w:t>
      </w:r>
      <w:r>
        <w:rPr>
          <w:rFonts w:hint="eastAsia"/>
        </w:rPr>
        <w:t>月运抵</w:t>
      </w:r>
      <w:r>
        <w:rPr>
          <w:rFonts w:hint="eastAsia"/>
        </w:rPr>
        <w:t>A</w:t>
      </w:r>
      <w:r>
        <w:rPr>
          <w:rFonts w:hint="eastAsia"/>
        </w:rPr>
        <w:t>公司，但尚未达到预定可使用状态，需与其他配套设备完成调试安装后方可整体运行，从而实现租赁目的。该调试工作直至</w:t>
      </w:r>
      <w:r>
        <w:rPr>
          <w:rFonts w:hint="eastAsia"/>
        </w:rPr>
        <w:t>2025</w:t>
      </w:r>
      <w:r>
        <w:rPr>
          <w:rFonts w:hint="eastAsia"/>
        </w:rPr>
        <w:t>年</w:t>
      </w:r>
      <w:r>
        <w:rPr>
          <w:rFonts w:hint="eastAsia"/>
        </w:rPr>
        <w:t>11</w:t>
      </w:r>
      <w:r>
        <w:rPr>
          <w:rFonts w:hint="eastAsia"/>
        </w:rPr>
        <w:t>月</w:t>
      </w:r>
      <w:r w:rsidR="001805B7">
        <w:rPr>
          <w:rFonts w:hint="eastAsia"/>
        </w:rPr>
        <w:t>才</w:t>
      </w:r>
      <w:r>
        <w:rPr>
          <w:rFonts w:hint="eastAsia"/>
        </w:rPr>
        <w:t>完成，公司才能正式启用该设备，因此使用权资产的确认时点应为</w:t>
      </w:r>
      <w:r>
        <w:rPr>
          <w:rFonts w:hint="eastAsia"/>
        </w:rPr>
        <w:t>2025</w:t>
      </w:r>
      <w:r>
        <w:rPr>
          <w:rFonts w:hint="eastAsia"/>
        </w:rPr>
        <w:t>年</w:t>
      </w:r>
      <w:r>
        <w:rPr>
          <w:rFonts w:hint="eastAsia"/>
        </w:rPr>
        <w:t>11</w:t>
      </w:r>
      <w:r>
        <w:rPr>
          <w:rFonts w:hint="eastAsia"/>
        </w:rPr>
        <w:t>月。</w:t>
      </w:r>
    </w:p>
    <w:p w14:paraId="633FF346" w14:textId="5DAFED28" w:rsidR="00F142A8" w:rsidRPr="00463A40" w:rsidRDefault="00F142A8" w:rsidP="00F142A8">
      <w:pPr>
        <w:widowControl/>
        <w:snapToGrid w:val="0"/>
        <w:ind w:firstLineChars="200" w:firstLine="480"/>
        <w:jc w:val="left"/>
        <w:rPr>
          <w:rFonts w:ascii="微软雅黑" w:eastAsia="微软雅黑" w:hAnsi="微软雅黑" w:cs="宋体" w:hint="eastAsia"/>
          <w:kern w:val="0"/>
          <w:sz w:val="24"/>
          <w:highlight w:val="yellow"/>
        </w:rPr>
      </w:pPr>
    </w:p>
    <w:p w14:paraId="00250112" w14:textId="464568F2" w:rsidR="00407F6A" w:rsidRPr="00AD2DD6" w:rsidRDefault="00B225BA" w:rsidP="00AD2DD6">
      <w:pPr>
        <w:pStyle w:val="a8"/>
        <w:numPr>
          <w:ilvl w:val="0"/>
          <w:numId w:val="1"/>
        </w:numPr>
        <w:spacing w:line="360" w:lineRule="auto"/>
        <w:ind w:firstLineChars="0"/>
        <w:rPr>
          <w:rFonts w:ascii="宋体" w:eastAsia="宋体" w:hAnsi="宋体" w:hint="eastAsia"/>
          <w:bCs/>
          <w:sz w:val="24"/>
        </w:rPr>
      </w:pPr>
      <w:r w:rsidRPr="00AD2DD6">
        <w:rPr>
          <w:rFonts w:ascii="宋体" w:eastAsia="宋体" w:hAnsi="宋体" w:hint="eastAsia"/>
          <w:bCs/>
          <w:sz w:val="24"/>
        </w:rPr>
        <w:t>如果在设备达到预定可使用状态之前已确认使用权资产和租赁负债，是否可以先不对使用权资产计提折旧？（《企业会计准则第21号——租赁》规定，</w:t>
      </w:r>
      <w:r w:rsidRPr="00AD2DD6">
        <w:rPr>
          <w:rFonts w:ascii="宋体" w:eastAsia="宋体" w:hAnsi="宋体" w:hint="eastAsia"/>
          <w:bCs/>
          <w:sz w:val="24"/>
        </w:rPr>
        <w:lastRenderedPageBreak/>
        <w:t>应对使用权资产参照固定资产准则计提折旧；而固定资产准则中，需要安装调试的资产在建期间不计提折旧。）</w:t>
      </w:r>
    </w:p>
    <w:p w14:paraId="61A4A2EE" w14:textId="3AFEC595" w:rsidR="00C95695" w:rsidRDefault="00C95695" w:rsidP="00C95695">
      <w:pPr>
        <w:pStyle w:val="aa"/>
        <w:spacing w:before="156"/>
        <w:ind w:firstLine="480"/>
      </w:pPr>
      <w:r>
        <w:rPr>
          <w:rFonts w:hint="eastAsia"/>
        </w:rPr>
        <w:t>观点一：认为使用权资产一经确认，即应按租赁准则要求自租赁期开始日计提折旧。</w:t>
      </w:r>
    </w:p>
    <w:p w14:paraId="7CC21B35" w14:textId="1A14EE79" w:rsidR="00C95695" w:rsidRDefault="00C95695" w:rsidP="00C95695">
      <w:pPr>
        <w:pStyle w:val="aa"/>
        <w:spacing w:before="156"/>
        <w:ind w:firstLine="480"/>
      </w:pPr>
      <w:r>
        <w:rPr>
          <w:rFonts w:hint="eastAsia"/>
        </w:rPr>
        <w:t>观点二：认为虽在</w:t>
      </w:r>
      <w:r>
        <w:rPr>
          <w:rFonts w:hint="eastAsia"/>
        </w:rPr>
        <w:t>7</w:t>
      </w:r>
      <w:r>
        <w:rPr>
          <w:rFonts w:hint="eastAsia"/>
        </w:rPr>
        <w:t>月确认资产，但是否可以参照固定资产准则中“在建工程设备未达到预定可使用状态不计提折旧”的实质，在</w:t>
      </w:r>
      <w:r>
        <w:rPr>
          <w:rFonts w:hint="eastAsia"/>
        </w:rPr>
        <w:t>11</w:t>
      </w:r>
      <w:r>
        <w:rPr>
          <w:rFonts w:hint="eastAsia"/>
        </w:rPr>
        <w:t>月调试完成后才开始计提折旧。</w:t>
      </w:r>
    </w:p>
    <w:p w14:paraId="734F1C1B" w14:textId="77777777" w:rsidR="00C95695" w:rsidRPr="00AD2DD6" w:rsidRDefault="00C95695" w:rsidP="00AD2DD6">
      <w:pPr>
        <w:pStyle w:val="aa"/>
        <w:spacing w:before="156"/>
        <w:ind w:firstLine="480"/>
      </w:pPr>
    </w:p>
    <w:p w14:paraId="442AE10C" w14:textId="1B563497" w:rsidR="00407F6A" w:rsidRDefault="00B225BA">
      <w:pPr>
        <w:numPr>
          <w:ilvl w:val="0"/>
          <w:numId w:val="1"/>
        </w:numPr>
        <w:spacing w:line="360" w:lineRule="auto"/>
        <w:ind w:firstLineChars="200" w:firstLine="480"/>
        <w:rPr>
          <w:rFonts w:ascii="宋体" w:eastAsia="宋体" w:hAnsi="宋体" w:hint="eastAsia"/>
          <w:bCs/>
          <w:sz w:val="24"/>
        </w:rPr>
      </w:pPr>
      <w:r>
        <w:rPr>
          <w:rFonts w:ascii="宋体" w:eastAsia="宋体" w:hAnsi="宋体" w:hint="eastAsia"/>
          <w:bCs/>
          <w:sz w:val="24"/>
        </w:rPr>
        <w:t>如果在设备达到预定可使用状态之前已确认使用权资产并计提折旧，则折旧年限应如何确定？折旧应在哪个科目中核算？达到预期使用条件后，该部分应如何进行会计处理？</w:t>
      </w:r>
    </w:p>
    <w:p w14:paraId="0586D044" w14:textId="6955C191" w:rsidR="00AE0DEC" w:rsidRDefault="00AD05EB" w:rsidP="00AD05EB">
      <w:pPr>
        <w:pStyle w:val="aa"/>
        <w:spacing w:before="156"/>
        <w:ind w:firstLine="480"/>
      </w:pPr>
      <w:r>
        <w:rPr>
          <w:rFonts w:hint="eastAsia"/>
        </w:rPr>
        <w:t>①</w:t>
      </w:r>
      <w:r w:rsidR="00AE0DEC" w:rsidRPr="00AE0DEC">
        <w:rPr>
          <w:rFonts w:hint="eastAsia"/>
        </w:rPr>
        <w:t>若采用</w:t>
      </w:r>
      <w:r w:rsidR="00AE0DEC" w:rsidRPr="00AE0DEC">
        <w:rPr>
          <w:rFonts w:hint="eastAsia"/>
        </w:rPr>
        <w:t>2025</w:t>
      </w:r>
      <w:r w:rsidR="00AE0DEC" w:rsidRPr="00AE0DEC">
        <w:rPr>
          <w:rFonts w:hint="eastAsia"/>
        </w:rPr>
        <w:t>年</w:t>
      </w:r>
      <w:r w:rsidR="00AE0DEC" w:rsidRPr="00AE0DEC">
        <w:rPr>
          <w:rFonts w:hint="eastAsia"/>
        </w:rPr>
        <w:t>7</w:t>
      </w:r>
      <w:r w:rsidR="00AE0DEC" w:rsidRPr="00AE0DEC">
        <w:rPr>
          <w:rFonts w:hint="eastAsia"/>
        </w:rPr>
        <w:t>月确认使用权资产并计提折旧的方案，项目组对折旧年限存在不同意见</w:t>
      </w:r>
      <w:r w:rsidR="00AE0DEC">
        <w:rPr>
          <w:rFonts w:hint="eastAsia"/>
        </w:rPr>
        <w:t>：</w:t>
      </w:r>
    </w:p>
    <w:p w14:paraId="44C228B7" w14:textId="67A0BEE2" w:rsidR="00AE0DEC" w:rsidRDefault="00AE0DEC" w:rsidP="00AE0DEC">
      <w:pPr>
        <w:pStyle w:val="aa"/>
        <w:spacing w:before="156"/>
        <w:ind w:firstLine="480"/>
      </w:pPr>
      <w:r>
        <w:rPr>
          <w:rFonts w:hint="eastAsia"/>
        </w:rPr>
        <w:t>观点</w:t>
      </w:r>
      <w:r w:rsidRPr="00AE0DEC">
        <w:rPr>
          <w:rFonts w:hint="eastAsia"/>
        </w:rPr>
        <w:t>一</w:t>
      </w:r>
      <w:r>
        <w:rPr>
          <w:rFonts w:hint="eastAsia"/>
        </w:rPr>
        <w:t>：认为</w:t>
      </w:r>
      <w:r w:rsidRPr="00AE0DEC">
        <w:rPr>
          <w:rFonts w:hint="eastAsia"/>
        </w:rPr>
        <w:t>设备的预计使用年限</w:t>
      </w:r>
      <w:r w:rsidRPr="00AE0DEC">
        <w:rPr>
          <w:rFonts w:hint="eastAsia"/>
        </w:rPr>
        <w:t>10</w:t>
      </w:r>
      <w:r w:rsidRPr="00AE0DEC">
        <w:rPr>
          <w:rFonts w:hint="eastAsia"/>
        </w:rPr>
        <w:t>年应从租赁期开始日（</w:t>
      </w:r>
      <w:r w:rsidRPr="00AE0DEC">
        <w:rPr>
          <w:rFonts w:hint="eastAsia"/>
        </w:rPr>
        <w:t>7</w:t>
      </w:r>
      <w:r w:rsidRPr="00AE0DEC">
        <w:rPr>
          <w:rFonts w:hint="eastAsia"/>
        </w:rPr>
        <w:t>月）起算，折旧年限即为</w:t>
      </w:r>
      <w:r w:rsidRPr="00AE0DEC">
        <w:rPr>
          <w:rFonts w:hint="eastAsia"/>
        </w:rPr>
        <w:t>10</w:t>
      </w:r>
      <w:r w:rsidRPr="00AE0DEC">
        <w:rPr>
          <w:rFonts w:hint="eastAsia"/>
        </w:rPr>
        <w:t>年。</w:t>
      </w:r>
    </w:p>
    <w:p w14:paraId="5FEDC632" w14:textId="70112E6F" w:rsidR="00C95695" w:rsidRDefault="00AE0DEC" w:rsidP="00AE0DEC">
      <w:pPr>
        <w:pStyle w:val="aa"/>
        <w:spacing w:before="156"/>
        <w:ind w:firstLine="480"/>
      </w:pPr>
      <w:r>
        <w:rPr>
          <w:rFonts w:hint="eastAsia"/>
        </w:rPr>
        <w:t>观点二：认为</w:t>
      </w:r>
      <w:r w:rsidRPr="00AE0DEC">
        <w:rPr>
          <w:rFonts w:hint="eastAsia"/>
        </w:rPr>
        <w:t>10</w:t>
      </w:r>
      <w:r w:rsidRPr="00AE0DEC">
        <w:rPr>
          <w:rFonts w:hint="eastAsia"/>
        </w:rPr>
        <w:t>年的使用寿命是指设备达到预定可使用状态后的使用年限，应从</w:t>
      </w:r>
      <w:r w:rsidRPr="00AE0DEC">
        <w:rPr>
          <w:rFonts w:hint="eastAsia"/>
        </w:rPr>
        <w:t>2025</w:t>
      </w:r>
      <w:r w:rsidRPr="00AE0DEC">
        <w:rPr>
          <w:rFonts w:hint="eastAsia"/>
        </w:rPr>
        <w:t>年</w:t>
      </w:r>
      <w:r w:rsidRPr="00AE0DEC">
        <w:rPr>
          <w:rFonts w:hint="eastAsia"/>
        </w:rPr>
        <w:t>11</w:t>
      </w:r>
      <w:r w:rsidRPr="00AE0DEC">
        <w:rPr>
          <w:rFonts w:hint="eastAsia"/>
        </w:rPr>
        <w:t>月起算；若</w:t>
      </w:r>
      <w:r w:rsidRPr="00AE0DEC">
        <w:rPr>
          <w:rFonts w:hint="eastAsia"/>
        </w:rPr>
        <w:t>7</w:t>
      </w:r>
      <w:r w:rsidRPr="00AE0DEC">
        <w:rPr>
          <w:rFonts w:hint="eastAsia"/>
        </w:rPr>
        <w:t>月即开始折旧，则总折旧年限应为“调试期（</w:t>
      </w:r>
      <w:r w:rsidRPr="00AE0DEC">
        <w:rPr>
          <w:rFonts w:hint="eastAsia"/>
        </w:rPr>
        <w:t>4</w:t>
      </w:r>
      <w:r w:rsidRPr="00AE0DEC">
        <w:rPr>
          <w:rFonts w:hint="eastAsia"/>
        </w:rPr>
        <w:t>个月）</w:t>
      </w:r>
      <w:r w:rsidRPr="00AE0DEC">
        <w:rPr>
          <w:rFonts w:hint="eastAsia"/>
        </w:rPr>
        <w:t>+ 10</w:t>
      </w:r>
      <w:r w:rsidRPr="00AE0DEC">
        <w:rPr>
          <w:rFonts w:hint="eastAsia"/>
        </w:rPr>
        <w:t>年”，以使折旧费用与资产实际创造价值的能力相匹配。</w:t>
      </w:r>
    </w:p>
    <w:p w14:paraId="0352CFDA" w14:textId="77777777" w:rsidR="00AE0DEC" w:rsidRDefault="00AE0DEC" w:rsidP="00EF5977">
      <w:pPr>
        <w:widowControl/>
        <w:snapToGrid w:val="0"/>
        <w:ind w:firstLineChars="200" w:firstLine="480"/>
        <w:jc w:val="left"/>
        <w:rPr>
          <w:rFonts w:ascii="微软雅黑" w:eastAsia="微软雅黑" w:hAnsi="微软雅黑" w:cs="宋体" w:hint="eastAsia"/>
          <w:kern w:val="0"/>
          <w:sz w:val="24"/>
          <w:highlight w:val="yellow"/>
        </w:rPr>
      </w:pPr>
    </w:p>
    <w:p w14:paraId="34E27B0E" w14:textId="339EBF90" w:rsidR="00C95695" w:rsidRDefault="00AD05EB" w:rsidP="00AD05EB">
      <w:pPr>
        <w:pStyle w:val="aa"/>
        <w:spacing w:before="156"/>
        <w:ind w:firstLine="480"/>
      </w:pPr>
      <w:r>
        <w:rPr>
          <w:rFonts w:hint="eastAsia"/>
        </w:rPr>
        <w:t>②</w:t>
      </w:r>
      <w:r w:rsidR="00AE0DEC" w:rsidRPr="00AE0DEC">
        <w:rPr>
          <w:rFonts w:hint="eastAsia"/>
        </w:rPr>
        <w:t>如果是</w:t>
      </w:r>
      <w:r w:rsidR="00AE0DEC" w:rsidRPr="00AE0DEC">
        <w:rPr>
          <w:rFonts w:hint="eastAsia"/>
        </w:rPr>
        <w:t>7</w:t>
      </w:r>
      <w:r w:rsidR="00AE0DEC" w:rsidRPr="00AE0DEC">
        <w:rPr>
          <w:rFonts w:hint="eastAsia"/>
        </w:rPr>
        <w:t>月开始确认使用权资产并计提折旧，到</w:t>
      </w:r>
      <w:r w:rsidR="00AE0DEC" w:rsidRPr="00AE0DEC">
        <w:rPr>
          <w:rFonts w:hint="eastAsia"/>
        </w:rPr>
        <w:t>11</w:t>
      </w:r>
      <w:r w:rsidR="00AE0DEC" w:rsidRPr="00AE0DEC">
        <w:rPr>
          <w:rFonts w:hint="eastAsia"/>
        </w:rPr>
        <w:t>月设备可以正式使用期间，</w:t>
      </w:r>
      <w:r w:rsidRPr="00AE0DEC">
        <w:rPr>
          <w:rFonts w:hint="eastAsia"/>
        </w:rPr>
        <w:t>项目组对</w:t>
      </w:r>
      <w:r w:rsidR="00AE0DEC" w:rsidRPr="00AE0DEC">
        <w:rPr>
          <w:rFonts w:hint="eastAsia"/>
        </w:rPr>
        <w:t>折旧资本化后最终核算科目</w:t>
      </w:r>
      <w:r>
        <w:rPr>
          <w:rFonts w:hint="eastAsia"/>
        </w:rPr>
        <w:t>有两张看法：</w:t>
      </w:r>
    </w:p>
    <w:p w14:paraId="4AFAAB99" w14:textId="0B8ED168" w:rsidR="00AD05EB" w:rsidRDefault="00AD05EB" w:rsidP="00AD05EB">
      <w:pPr>
        <w:pStyle w:val="aa"/>
        <w:spacing w:before="156"/>
        <w:ind w:firstLine="480"/>
      </w:pPr>
      <w:r>
        <w:rPr>
          <w:rFonts w:hint="eastAsia"/>
        </w:rPr>
        <w:t>观点一：</w:t>
      </w:r>
      <w:r w:rsidRPr="00AD05EB">
        <w:rPr>
          <w:rFonts w:hint="eastAsia"/>
        </w:rPr>
        <w:t>认为该在建工程系因使用权资产在达到预定可使用状态前发生的必要支出而形成，其对应的资产本身为融资租赁租入的使用权资产。</w:t>
      </w:r>
      <w:r w:rsidRPr="00AD05EB">
        <w:rPr>
          <w:rFonts w:hint="eastAsia"/>
        </w:rPr>
        <w:t>11</w:t>
      </w:r>
      <w:r w:rsidRPr="00AD05EB">
        <w:rPr>
          <w:rFonts w:hint="eastAsia"/>
        </w:rPr>
        <w:t>月调试完成后，应将在建工程累计金额结转至“使用权资产”科目，</w:t>
      </w:r>
      <w:r w:rsidRPr="00AD05EB">
        <w:t>租赁期满将使用权资产转入固定资产时，该资本化金额随使用权资产一并转入</w:t>
      </w:r>
      <w:r>
        <w:rPr>
          <w:rFonts w:hint="eastAsia"/>
        </w:rPr>
        <w:t>。</w:t>
      </w:r>
    </w:p>
    <w:p w14:paraId="17DC2816" w14:textId="40BF6F7C" w:rsidR="00AD05EB" w:rsidRDefault="00AD05EB" w:rsidP="00AD05EB">
      <w:pPr>
        <w:pStyle w:val="aa"/>
        <w:spacing w:before="156"/>
        <w:ind w:firstLine="480"/>
      </w:pPr>
      <w:r>
        <w:rPr>
          <w:rFonts w:hint="eastAsia"/>
        </w:rPr>
        <w:t>观点二：</w:t>
      </w:r>
      <w:r w:rsidRPr="00AD05EB">
        <w:rPr>
          <w:rFonts w:hint="eastAsia"/>
        </w:rPr>
        <w:t>认为调试安装支出属于使设备达到预定可使用状态所发生的资本化支出，应参照自有固定资产的处理方式，将在建工程结转至“固定资产”科目。</w:t>
      </w:r>
      <w:r w:rsidRPr="00AD05EB">
        <w:rPr>
          <w:rFonts w:hint="eastAsia"/>
        </w:rPr>
        <w:t>11</w:t>
      </w:r>
      <w:r w:rsidRPr="00AD05EB">
        <w:rPr>
          <w:rFonts w:hint="eastAsia"/>
        </w:rPr>
        <w:t>月调试完成后，该部分资本化金额形成固定资产的入账价值，后续作为固定资产计提折旧。</w:t>
      </w:r>
    </w:p>
    <w:p w14:paraId="2B8E5752" w14:textId="77777777" w:rsidR="00AE0DEC" w:rsidRDefault="00AE0DEC">
      <w:pPr>
        <w:spacing w:line="360" w:lineRule="auto"/>
        <w:ind w:firstLineChars="200" w:firstLine="482"/>
        <w:jc w:val="left"/>
        <w:rPr>
          <w:rFonts w:ascii="宋体" w:eastAsia="宋体" w:hAnsi="宋体" w:hint="eastAsia"/>
          <w:b/>
          <w:sz w:val="24"/>
        </w:rPr>
      </w:pPr>
    </w:p>
    <w:p w14:paraId="57B76D42" w14:textId="00360ECD" w:rsidR="00407F6A" w:rsidRDefault="00B225BA">
      <w:pPr>
        <w:spacing w:line="360" w:lineRule="auto"/>
        <w:ind w:firstLineChars="200" w:firstLine="482"/>
        <w:jc w:val="left"/>
        <w:rPr>
          <w:rFonts w:ascii="宋体" w:eastAsia="宋体" w:hAnsi="宋体" w:hint="eastAsia"/>
          <w:b/>
          <w:sz w:val="24"/>
        </w:rPr>
      </w:pPr>
      <w:r>
        <w:rPr>
          <w:rFonts w:ascii="宋体" w:eastAsia="宋体" w:hAnsi="宋体" w:hint="eastAsia"/>
          <w:b/>
          <w:sz w:val="24"/>
        </w:rPr>
        <w:t>三、适用准则</w:t>
      </w:r>
    </w:p>
    <w:p w14:paraId="3F87957D" w14:textId="77777777" w:rsidR="00407F6A" w:rsidRDefault="00B225BA">
      <w:pPr>
        <w:pStyle w:val="3"/>
        <w:spacing w:before="0" w:after="0" w:line="360" w:lineRule="auto"/>
        <w:ind w:firstLineChars="200" w:firstLine="480"/>
        <w:jc w:val="left"/>
        <w:rPr>
          <w:rFonts w:ascii="宋体" w:eastAsia="宋体" w:hAnsi="宋体" w:hint="eastAsia"/>
          <w:b w:val="0"/>
          <w:sz w:val="24"/>
          <w:szCs w:val="24"/>
        </w:rPr>
      </w:pPr>
      <w:r>
        <w:rPr>
          <w:rFonts w:ascii="宋体" w:eastAsia="宋体" w:hAnsi="宋体" w:hint="eastAsia"/>
          <w:b w:val="0"/>
          <w:sz w:val="24"/>
          <w:szCs w:val="24"/>
        </w:rPr>
        <w:t>1、《企业会计准则第21号一租赁》</w:t>
      </w:r>
    </w:p>
    <w:p w14:paraId="0940620A"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对于满足使用权资产确认条件的租赁，在租赁期开始日，承租人应当对租赁确认使用权资产和租赁负债：</w:t>
      </w:r>
    </w:p>
    <w:p w14:paraId="20F4B630"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租赁期开始日，是指出租人提供租赁资产使其可供承租人使用的起始日期。租赁期，是指承租人有权使用租赁资产且不可撤销的期间。承租人有续租选择权，</w:t>
      </w:r>
      <w:r>
        <w:rPr>
          <w:rFonts w:ascii="宋体" w:eastAsia="宋体" w:hAnsi="宋体" w:hint="eastAsia"/>
          <w:bCs/>
          <w:sz w:val="24"/>
        </w:rPr>
        <w:lastRenderedPageBreak/>
        <w:t>即有权选择续租该资产，且合理确定将行使该选择权的，租赁期还应当包含续租选择权涵盖的期间。承租人有终止租赁选择权，即有权选择终止租赁该资产，但合理确定将不会行使该选择权的，租赁期应当包含终止租赁选择权涵盖的期间。发生承租人可控范围内的重大事件或变化，且影响承租人是否合理确定将行使相应选择权的，承租人应当对其是否合理确定将行使续租选择权、购买选择权或不行使终止租赁选择权进行重新评估;</w:t>
      </w:r>
    </w:p>
    <w:p w14:paraId="1D3C4822"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在租赁期开始日后，承租人应当参照《企业会计准则第4号——固定资产》有关折旧规定，对使用权资产计提折旧。承租人能够合理确定租赁期届满时取得租赁资产所有权的，应当在租赁资产剩余使用寿命内计提折旧。无法合理确定租赁期届满时能够取得租赁资产所有权的，应当在租赁期与租赁资产剩余使用寿命两者孰短的期间内计提折旧。</w:t>
      </w:r>
    </w:p>
    <w:p w14:paraId="1DDE888A"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承租人应当按照固定的周期性利率计算租赁负债在租赁期内各期间的利息费用，并计入当期损益。按照《企业会计准则第17号——借款费用》等其他准则规定应当计入相关资产成本的，</w:t>
      </w:r>
    </w:p>
    <w:p w14:paraId="28992FBA"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2、《企业会计准则第17号——借款费用》</w:t>
      </w:r>
    </w:p>
    <w:p w14:paraId="16056BD6"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企业发生的借款费用，可直接归属于符合资本化条件的资产的购建或者生产的，应当予以资本化，计入相关资产成本；其他借款费用，应当在发生时根据其发生额确认为费用，计入当期损益。</w:t>
      </w:r>
    </w:p>
    <w:p w14:paraId="559170B7"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符合资本化条件的资产，是指需要经过相当长时间的购建或者生产活动才能达到预定可使用或者可销售状态的固定资产、投资性房地产和存货等资产。</w:t>
      </w:r>
    </w:p>
    <w:p w14:paraId="786930E3"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借款费用同时满足下列条件的，才能开始资本化：</w:t>
      </w:r>
    </w:p>
    <w:p w14:paraId="5D4ED612"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①资产支出已经发生，资产支出包括为购建或者生产符合资本化条件的资产而以支付现金、转移非现金资产或者承担带息债务形式发生的支出；</w:t>
      </w:r>
    </w:p>
    <w:p w14:paraId="7B2B67C0"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②借款费用已经发生；</w:t>
      </w:r>
    </w:p>
    <w:p w14:paraId="4864B02E"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③为使资产达到预定可使用或者可销售状态所必要的购建或者生产活动已经开始。</w:t>
      </w:r>
    </w:p>
    <w:p w14:paraId="06A7DD1C"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符合资本化条件的资产在购建或者生产过程中发生非正常中断、且中断时间连续超过3个月的，应当暂停借款费用的资本化。在中断期间发生的借款费用应当确认为费用，计入当期损益，直至资产的购建或者生产活动重新开始。如果中</w:t>
      </w:r>
      <w:r>
        <w:rPr>
          <w:rFonts w:ascii="宋体" w:eastAsia="宋体" w:hAnsi="宋体" w:hint="eastAsia"/>
          <w:bCs/>
          <w:sz w:val="24"/>
        </w:rPr>
        <w:lastRenderedPageBreak/>
        <w:t>断是所购建或者生产的符合资本化条件的资产达到预定可使用或者可销售状态必要的程序，借款费用的资本化应当继续进行。 购建或者生产符合资本化条件的资产达到预定可使用或者可销售状态时，借款费用应当停止资本化。在符合资本化条件的资产达到预定可使用或者可销售状态之后所发生的借款费用，应当发生时根据其发生额确认为费用，计入当期损益。</w:t>
      </w:r>
    </w:p>
    <w:p w14:paraId="7CF059D7"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3、《企业会计准则第4号——固定资产》</w:t>
      </w:r>
    </w:p>
    <w:p w14:paraId="2AD19227"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 xml:space="preserve">固定资产，是指同时具有下列特征的有形资产： </w:t>
      </w:r>
    </w:p>
    <w:p w14:paraId="1EB65550"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 xml:space="preserve">①为生产商品、提供劳务、出租或经营管理而持有的； </w:t>
      </w:r>
    </w:p>
    <w:p w14:paraId="77666F5A"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②使用寿命超过一个会计年度。（使用寿命，是指企业使用固定资产的预计期间，或者该固定资产所能生产产品或提供劳务的数量）</w:t>
      </w:r>
    </w:p>
    <w:p w14:paraId="1ACFEDB0" w14:textId="77777777" w:rsidR="00407F6A" w:rsidRDefault="00407F6A">
      <w:pPr>
        <w:spacing w:line="360" w:lineRule="auto"/>
        <w:ind w:firstLineChars="200" w:firstLine="482"/>
        <w:jc w:val="left"/>
        <w:rPr>
          <w:rFonts w:ascii="宋体" w:eastAsia="宋体" w:hAnsi="宋体" w:hint="eastAsia"/>
          <w:b/>
          <w:sz w:val="24"/>
        </w:rPr>
      </w:pPr>
    </w:p>
    <w:p w14:paraId="1840BD67" w14:textId="2CB5C932" w:rsidR="00407F6A" w:rsidRDefault="00C95695">
      <w:pPr>
        <w:spacing w:line="360" w:lineRule="auto"/>
        <w:ind w:firstLineChars="200" w:firstLine="482"/>
        <w:jc w:val="left"/>
        <w:rPr>
          <w:rFonts w:ascii="宋体" w:eastAsia="宋体" w:hAnsi="宋体" w:hint="eastAsia"/>
          <w:b/>
          <w:sz w:val="24"/>
        </w:rPr>
      </w:pPr>
      <w:r>
        <w:rPr>
          <w:rFonts w:ascii="宋体" w:eastAsia="宋体" w:hAnsi="宋体" w:hint="eastAsia"/>
          <w:b/>
          <w:sz w:val="24"/>
        </w:rPr>
        <w:t>四</w:t>
      </w:r>
      <w:r w:rsidR="00B225BA">
        <w:rPr>
          <w:rFonts w:ascii="宋体" w:eastAsia="宋体" w:hAnsi="宋体" w:hint="eastAsia"/>
          <w:b/>
          <w:sz w:val="24"/>
        </w:rPr>
        <w:t>、项目组最终处理方案</w:t>
      </w:r>
    </w:p>
    <w:p w14:paraId="325800A7"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考虑到合同并未约定出租人需要对设备进行安装调试，因此判断租赁期开始日为交货验收日2025年7月，并确认使用权资产和租赁负债，此前已支付租金款项作为预付租赁款处理。</w:t>
      </w:r>
    </w:p>
    <w:p w14:paraId="3B412CF4" w14:textId="77777777" w:rsidR="00407F6A" w:rsidRDefault="00B225BA">
      <w:pPr>
        <w:spacing w:line="360" w:lineRule="auto"/>
        <w:ind w:firstLineChars="200" w:firstLine="480"/>
        <w:rPr>
          <w:rFonts w:ascii="宋体" w:eastAsia="宋体" w:hAnsi="宋体" w:hint="eastAsia"/>
          <w:bCs/>
          <w:sz w:val="24"/>
        </w:rPr>
      </w:pPr>
      <w:r>
        <w:rPr>
          <w:rFonts w:ascii="宋体" w:eastAsia="宋体" w:hAnsi="宋体" w:hint="eastAsia"/>
          <w:bCs/>
          <w:sz w:val="24"/>
        </w:rPr>
        <w:t>考虑到可以合理确定将获取标的资产所有权，因此使用权资产摊销期限参照自有固定资产年限。使用权资产在租赁期开始日（即2025年7月份）开始计提折旧，折旧年限按照资产剩余使用寿命10年处理，折旧额资本化计入在建工程。同时租赁负债产生的利息费用也资本化计入在建工程；待设备达到预期使用情况后，折旧及利息支出费用化计入成本费用科目。</w:t>
      </w:r>
      <w:r>
        <w:rPr>
          <w:rFonts w:ascii="宋体" w:eastAsia="宋体" w:hAnsi="宋体" w:hint="eastAsia"/>
          <w:bCs/>
          <w:color w:val="0000FF"/>
          <w:sz w:val="24"/>
        </w:rPr>
        <w:t>（除非安装调试期超过正常期间或者非正常中止期间对应的折旧不能资本化</w:t>
      </w:r>
      <w:r>
        <w:rPr>
          <w:rFonts w:ascii="宋体" w:eastAsia="宋体" w:hAnsi="宋体" w:hint="eastAsia"/>
          <w:bCs/>
          <w:sz w:val="24"/>
        </w:rPr>
        <w:t>）。</w:t>
      </w:r>
    </w:p>
    <w:sectPr w:rsidR="00407F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45E44" w14:textId="77777777" w:rsidR="00BC03AF" w:rsidRDefault="00BC03AF" w:rsidP="002A458F">
      <w:r>
        <w:separator/>
      </w:r>
    </w:p>
  </w:endnote>
  <w:endnote w:type="continuationSeparator" w:id="0">
    <w:p w14:paraId="77D80DE3" w14:textId="77777777" w:rsidR="00BC03AF" w:rsidRDefault="00BC03AF" w:rsidP="002A4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FF56D" w14:textId="77777777" w:rsidR="00BC03AF" w:rsidRDefault="00BC03AF" w:rsidP="002A458F">
      <w:r>
        <w:separator/>
      </w:r>
    </w:p>
  </w:footnote>
  <w:footnote w:type="continuationSeparator" w:id="0">
    <w:p w14:paraId="2B7D117D" w14:textId="77777777" w:rsidR="00BC03AF" w:rsidRDefault="00BC03AF" w:rsidP="002A45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ECE2DD"/>
    <w:multiLevelType w:val="singleLevel"/>
    <w:tmpl w:val="2632C7F8"/>
    <w:lvl w:ilvl="0">
      <w:start w:val="2"/>
      <w:numFmt w:val="decimal"/>
      <w:suff w:val="nothing"/>
      <w:lvlText w:val="%1、"/>
      <w:lvlJc w:val="left"/>
    </w:lvl>
  </w:abstractNum>
  <w:abstractNum w:abstractNumId="1" w15:restartNumberingAfterBreak="0">
    <w:nsid w:val="497433FA"/>
    <w:multiLevelType w:val="hybridMultilevel"/>
    <w:tmpl w:val="29FABE62"/>
    <w:lvl w:ilvl="0" w:tplc="612C4038">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098018554">
    <w:abstractNumId w:val="0"/>
  </w:num>
  <w:num w:numId="2" w16cid:durableId="760680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F6A"/>
    <w:rsid w:val="000E61ED"/>
    <w:rsid w:val="001364E6"/>
    <w:rsid w:val="001805B7"/>
    <w:rsid w:val="00181D76"/>
    <w:rsid w:val="002A458F"/>
    <w:rsid w:val="002F0148"/>
    <w:rsid w:val="00336383"/>
    <w:rsid w:val="00341C88"/>
    <w:rsid w:val="00380634"/>
    <w:rsid w:val="00407F6A"/>
    <w:rsid w:val="004478C3"/>
    <w:rsid w:val="00463A40"/>
    <w:rsid w:val="007B743B"/>
    <w:rsid w:val="007E01B5"/>
    <w:rsid w:val="0086336D"/>
    <w:rsid w:val="0089020F"/>
    <w:rsid w:val="008D24C4"/>
    <w:rsid w:val="009178B0"/>
    <w:rsid w:val="00AD05EB"/>
    <w:rsid w:val="00AD2DD6"/>
    <w:rsid w:val="00AE0DEC"/>
    <w:rsid w:val="00B225BA"/>
    <w:rsid w:val="00B27653"/>
    <w:rsid w:val="00B83CD0"/>
    <w:rsid w:val="00BC03AF"/>
    <w:rsid w:val="00C95695"/>
    <w:rsid w:val="00E67A6D"/>
    <w:rsid w:val="00EF5977"/>
    <w:rsid w:val="00F138FA"/>
    <w:rsid w:val="00F142A8"/>
    <w:rsid w:val="212A6FC1"/>
    <w:rsid w:val="3D240C3B"/>
    <w:rsid w:val="40592EE4"/>
    <w:rsid w:val="459900EA"/>
    <w:rsid w:val="57023DD0"/>
    <w:rsid w:val="57E25B41"/>
    <w:rsid w:val="68DB0F8B"/>
    <w:rsid w:val="7E576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231FB"/>
  <w15:docId w15:val="{75E9C46D-A558-47D6-A523-CBDB1D4C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qFormat/>
    <w:pPr>
      <w:spacing w:beforeLines="50" w:before="50" w:line="360" w:lineRule="auto"/>
      <w:ind w:firstLineChars="200" w:firstLine="200"/>
      <w:jc w:val="both"/>
    </w:pPr>
    <w:rPr>
      <w:kern w:val="2"/>
      <w:sz w:val="24"/>
      <w:szCs w:val="23"/>
    </w:rPr>
  </w:style>
  <w:style w:type="paragraph" w:styleId="a4">
    <w:name w:val="header"/>
    <w:basedOn w:val="a"/>
    <w:link w:val="a5"/>
    <w:rsid w:val="002A458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rsid w:val="002A458F"/>
    <w:rPr>
      <w:rFonts w:asciiTheme="minorHAnsi" w:eastAsiaTheme="minorEastAsia" w:hAnsiTheme="minorHAnsi" w:cstheme="minorBidi"/>
      <w:kern w:val="2"/>
      <w:sz w:val="18"/>
      <w:szCs w:val="18"/>
    </w:rPr>
  </w:style>
  <w:style w:type="paragraph" w:styleId="a6">
    <w:name w:val="footer"/>
    <w:basedOn w:val="a"/>
    <w:link w:val="a7"/>
    <w:rsid w:val="002A458F"/>
    <w:pPr>
      <w:tabs>
        <w:tab w:val="center" w:pos="4153"/>
        <w:tab w:val="right" w:pos="8306"/>
      </w:tabs>
      <w:snapToGrid w:val="0"/>
      <w:jc w:val="left"/>
    </w:pPr>
    <w:rPr>
      <w:sz w:val="18"/>
      <w:szCs w:val="18"/>
    </w:rPr>
  </w:style>
  <w:style w:type="character" w:customStyle="1" w:styleId="a7">
    <w:name w:val="页脚 字符"/>
    <w:basedOn w:val="a1"/>
    <w:link w:val="a6"/>
    <w:rsid w:val="002A458F"/>
    <w:rPr>
      <w:rFonts w:asciiTheme="minorHAnsi" w:eastAsiaTheme="minorEastAsia" w:hAnsiTheme="minorHAnsi" w:cstheme="minorBidi"/>
      <w:kern w:val="2"/>
      <w:sz w:val="18"/>
      <w:szCs w:val="18"/>
    </w:rPr>
  </w:style>
  <w:style w:type="paragraph" w:styleId="a8">
    <w:name w:val="List Paragraph"/>
    <w:basedOn w:val="a"/>
    <w:uiPriority w:val="99"/>
    <w:unhideWhenUsed/>
    <w:rsid w:val="00B27653"/>
    <w:pPr>
      <w:ind w:firstLineChars="200" w:firstLine="420"/>
    </w:pPr>
  </w:style>
  <w:style w:type="paragraph" w:customStyle="1" w:styleId="iasbnormalnparal1">
    <w:name w:val="iasbnormalnparal1"/>
    <w:basedOn w:val="a"/>
    <w:rsid w:val="00463A40"/>
    <w:pPr>
      <w:widowControl/>
      <w:spacing w:before="100" w:beforeAutospacing="1" w:after="100" w:afterAutospacing="1"/>
      <w:jc w:val="left"/>
    </w:pPr>
    <w:rPr>
      <w:rFonts w:ascii="宋体" w:eastAsia="宋体" w:hAnsi="宋体" w:cs="宋体"/>
      <w:kern w:val="0"/>
      <w:sz w:val="24"/>
    </w:rPr>
  </w:style>
  <w:style w:type="character" w:styleId="a9">
    <w:name w:val="annotation reference"/>
    <w:basedOn w:val="a1"/>
    <w:rsid w:val="007B743B"/>
    <w:rPr>
      <w:sz w:val="21"/>
      <w:szCs w:val="21"/>
    </w:rPr>
  </w:style>
  <w:style w:type="paragraph" w:styleId="aa">
    <w:name w:val="annotation text"/>
    <w:basedOn w:val="a"/>
    <w:link w:val="ab"/>
    <w:rsid w:val="007B743B"/>
    <w:pPr>
      <w:jc w:val="left"/>
    </w:pPr>
  </w:style>
  <w:style w:type="character" w:customStyle="1" w:styleId="ab">
    <w:name w:val="批注文字 字符"/>
    <w:basedOn w:val="a1"/>
    <w:link w:val="aa"/>
    <w:rsid w:val="007B743B"/>
    <w:rPr>
      <w:rFonts w:asciiTheme="minorHAnsi" w:eastAsiaTheme="minorEastAsia" w:hAnsiTheme="minorHAnsi" w:cstheme="minorBidi"/>
      <w:kern w:val="2"/>
      <w:sz w:val="21"/>
      <w:szCs w:val="24"/>
    </w:rPr>
  </w:style>
  <w:style w:type="paragraph" w:styleId="ac">
    <w:name w:val="annotation subject"/>
    <w:basedOn w:val="aa"/>
    <w:next w:val="aa"/>
    <w:link w:val="ad"/>
    <w:rsid w:val="007B743B"/>
    <w:rPr>
      <w:b/>
      <w:bCs/>
    </w:rPr>
  </w:style>
  <w:style w:type="character" w:customStyle="1" w:styleId="ad">
    <w:name w:val="批注主题 字符"/>
    <w:basedOn w:val="ab"/>
    <w:link w:val="ac"/>
    <w:rsid w:val="007B743B"/>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166499">
      <w:bodyDiv w:val="1"/>
      <w:marLeft w:val="0"/>
      <w:marRight w:val="0"/>
      <w:marTop w:val="0"/>
      <w:marBottom w:val="0"/>
      <w:divBdr>
        <w:top w:val="none" w:sz="0" w:space="0" w:color="auto"/>
        <w:left w:val="none" w:sz="0" w:space="0" w:color="auto"/>
        <w:bottom w:val="none" w:sz="0" w:space="0" w:color="auto"/>
        <w:right w:val="none" w:sz="0" w:space="0" w:color="auto"/>
      </w:divBdr>
      <w:divsChild>
        <w:div w:id="1217549323">
          <w:marLeft w:val="0"/>
          <w:marRight w:val="0"/>
          <w:marTop w:val="0"/>
          <w:marBottom w:val="0"/>
          <w:divBdr>
            <w:top w:val="none" w:sz="0" w:space="0" w:color="auto"/>
            <w:left w:val="none" w:sz="0" w:space="0" w:color="auto"/>
            <w:bottom w:val="none" w:sz="0" w:space="0" w:color="auto"/>
            <w:right w:val="none" w:sz="0" w:space="0" w:color="auto"/>
          </w:divBdr>
        </w:div>
      </w:divsChild>
    </w:div>
    <w:div w:id="1462074871">
      <w:bodyDiv w:val="1"/>
      <w:marLeft w:val="0"/>
      <w:marRight w:val="0"/>
      <w:marTop w:val="0"/>
      <w:marBottom w:val="0"/>
      <w:divBdr>
        <w:top w:val="none" w:sz="0" w:space="0" w:color="auto"/>
        <w:left w:val="none" w:sz="0" w:space="0" w:color="auto"/>
        <w:bottom w:val="none" w:sz="0" w:space="0" w:color="auto"/>
        <w:right w:val="none" w:sz="0" w:space="0" w:color="auto"/>
      </w:divBdr>
      <w:divsChild>
        <w:div w:id="79182830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1546</Words>
  <Characters>1593</Characters>
  <Application>Microsoft Office Word</Application>
  <DocSecurity>0</DocSecurity>
  <Lines>59</Lines>
  <Paragraphs>43</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wangrongna</dc:creator>
  <cp:lastModifiedBy>冷雪(北京-业务七部)</cp:lastModifiedBy>
  <cp:revision>24</cp:revision>
  <dcterms:created xsi:type="dcterms:W3CDTF">2026-05-28T01:08:00Z</dcterms:created>
  <dcterms:modified xsi:type="dcterms:W3CDTF">2026-07-13T13:09:00Z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eyJoZGlkIjoiYzIyNTVmNDc0MTc5ZGYyYjgzMjRlMTNkZjAyMGE0MzUiLCJ1c2VySWQiOiIxMDcwMTI1MzcyIn0=</vt:lpwstr>
  </property>
  <property fmtid="{D5CDD505-2E9C-101B-9397-08002B2CF9AE}" pid="4" name="ICV">
    <vt:lpwstr>591C1E450AAC4F478774C6E7C6C05C30_12</vt:lpwstr>
  </property>
</Properties>
</file>