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E982E">
      <w:pPr>
        <w:spacing w:line="360" w:lineRule="auto"/>
        <w:ind w:firstLine="482" w:firstLineChars="20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审计</w:t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/>
          <w:b/>
          <w:sz w:val="24"/>
          <w:szCs w:val="24"/>
        </w:rPr>
        <w:t>部</w:t>
      </w:r>
    </w:p>
    <w:p w14:paraId="05FA76C5">
      <w:pPr>
        <w:pStyle w:val="2"/>
        <w:spacing w:before="0" w:after="0" w:line="360" w:lineRule="auto"/>
        <w:ind w:firstLine="482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案例1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医疗行业商品销售控制权转移时点的判断</w:t>
      </w:r>
    </w:p>
    <w:p w14:paraId="3EF768FF">
      <w:pPr>
        <w:pStyle w:val="4"/>
        <w:spacing w:before="0" w:after="0" w:line="360" w:lineRule="auto"/>
        <w:ind w:firstLine="482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一、</w:t>
      </w:r>
      <w:r>
        <w:rPr>
          <w:rFonts w:ascii="宋体" w:hAnsi="宋体" w:eastAsia="宋体"/>
          <w:sz w:val="24"/>
          <w:szCs w:val="24"/>
        </w:rPr>
        <w:t>案例背景</w:t>
      </w:r>
    </w:p>
    <w:p w14:paraId="5CBF7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公司系医药制造业上市公司，核心业务涵盖药品的研发、生产与销售。为深化市场布局，公司与一级医药流通经销商正式建立战略合作关系，并签署年度经销协议。根据协议安排，一级经销商负责将产品分销至医院、诊所及连锁零售等终端；同时A公司（甲方）、一级医药商业经销商（乙方）与区域连锁零售药店（丙方）签署三方协议。具体合作模式如下：</w:t>
      </w:r>
    </w:p>
    <w:p w14:paraId="2FD4D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三方主体与货物流转模式</w:t>
      </w:r>
      <w:r>
        <w:rPr>
          <w:rFonts w:hint="eastAsia"/>
          <w:lang w:val="en-US" w:eastAsia="zh-CN"/>
        </w:rPr>
        <w:t>：在货物流转环节，甲方负责将药品发运至乙方仓库，乙方签收验收后即完成货物交付并买断全部库存，随后由乙方自主向丙方进行终端分销。</w:t>
      </w:r>
    </w:p>
    <w:p w14:paraId="73DBD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</w:t>
      </w:r>
      <w:r>
        <w:rPr>
          <w:rFonts w:hint="default"/>
          <w:lang w:val="en-US" w:eastAsia="zh-CN"/>
        </w:rPr>
        <w:t>独立购销结算与终端纯销返利机制</w:t>
      </w:r>
      <w:r>
        <w:rPr>
          <w:rFonts w:hint="eastAsia"/>
          <w:lang w:val="en-US" w:eastAsia="zh-CN"/>
        </w:rPr>
        <w:t>：在结算方面，整个交易环节都是先款后货。甲乙、乙丙之间分别形成独立的购销债权债务关系，各自开具发票并结算货款。甲方不直接对接终端丙方，而是依据丙方门店面向消费者的实际纯销金额（而非乙方的采购提货量）计算销售折扣，按季度以红字增值税发票或公对公转账形式兑付给乙方，再由乙方转付丙方。</w:t>
      </w:r>
    </w:p>
    <w:p w14:paraId="308CD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严格渠道约束与非质量退货免责条款：为保障市场秩序，协议设定了严格的渠道约束，丙方仅限自营门店及自有O2O/B2C渠道销售方可享受折扣，若发生B2B串货或提供虚假流向数据，乙方有权全额扣减对应折扣。同时，退换货条款明确界定仅允许因甲方生产质量瑕疵导致的退货；因终端动销差、近效期或滞销产生的退货损失均由乙方自行承担，甲方不接受任何非质量问题的退货。</w:t>
      </w:r>
    </w:p>
    <w:p w14:paraId="11857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根据甲乙双方签订的《经销协议》“乙方在收到甲方产品后，产品所有权即归乙方所有，此后产品的一切风险由乙方承担（因甲方原因导致的产品质量问题除外）。”A</w:t>
      </w:r>
      <w:r>
        <w:rPr>
          <w:rFonts w:hint="default"/>
          <w:lang w:val="en-US" w:eastAsia="zh-CN"/>
        </w:rPr>
        <w:t>公司现行收入确认规则：药品发运至一级经销商乙方、乙方完成货物验收</w:t>
      </w:r>
      <w:r>
        <w:rPr>
          <w:rFonts w:hint="eastAsia"/>
          <w:lang w:val="en-US" w:eastAsia="zh-CN"/>
        </w:rPr>
        <w:t>，在“随货同行单”签字确认收货时</w:t>
      </w:r>
      <w:r>
        <w:rPr>
          <w:rFonts w:hint="default"/>
          <w:lang w:val="en-US" w:eastAsia="zh-CN"/>
        </w:rPr>
        <w:t>，A公司全额确认主营业务收入；</w:t>
      </w:r>
    </w:p>
    <w:p w14:paraId="5CBED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2024年度、2025年度下游医药终端市场需求下滑，连锁药店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一级经销商乙方库存积压、回款压力加大</w:t>
      </w:r>
      <w:r>
        <w:rPr>
          <w:rFonts w:hint="eastAsia"/>
          <w:lang w:val="en-US" w:eastAsia="zh-CN"/>
        </w:rPr>
        <w:t>，甲方基于实际经营情况，同意并接受了经销商的退货申请，由此导致公司在这两个年度内产生了较大规模的退货金额。</w:t>
      </w:r>
    </w:p>
    <w:p w14:paraId="3D419187">
      <w:pPr>
        <w:pStyle w:val="4"/>
        <w:spacing w:before="0" w:after="0" w:line="360" w:lineRule="auto"/>
        <w:ind w:firstLine="482" w:firstLineChars="20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二、问题</w:t>
      </w:r>
    </w:p>
    <w:p w14:paraId="1F9CE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终端销售折扣以连锁后期纯销作为计算依据，乙方收货时交易对价存在重大不确定性，发货签收即全额确认收入，是否违反可变对价“极可能不会发生重大转回”限制，存在提前确认收入，收入确认时点不恰当问题？是否应待终端零售实现后确认收入？</w:t>
      </w:r>
    </w:p>
    <w:p w14:paraId="257FB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（2）2024-2025 年度终端产生大额滞销退货，一级经销商未承担大量库存跌价损失，是否说明商品所有权上主要风险报酬未转移，控制权未转移，不应在发货时确认收入？</w:t>
      </w:r>
    </w:p>
    <w:p w14:paraId="057CE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（3）业务实质是否属于委托代销，一级经销商仅过票分销，应在终端实现零售后才能确认收入？</w:t>
      </w:r>
    </w:p>
    <w:p w14:paraId="0B70D1AE">
      <w:pPr>
        <w:pStyle w:val="4"/>
        <w:spacing w:before="0" w:after="0" w:line="360" w:lineRule="auto"/>
        <w:ind w:firstLine="482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三、项目组意见</w:t>
      </w:r>
    </w:p>
    <w:p w14:paraId="22246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现有收入确认时点恰当，发货乙方签收时确认收入符合准则要求</w:t>
      </w:r>
      <w:r>
        <w:rPr>
          <w:rFonts w:hint="eastAsia"/>
          <w:b w:val="0"/>
          <w:bCs w:val="0"/>
          <w:lang w:eastAsia="zh-CN"/>
        </w:rPr>
        <w:t>。</w:t>
      </w:r>
    </w:p>
    <w:p w14:paraId="54DED6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一</w:t>
      </w:r>
      <w:r>
        <w:rPr>
          <w:rFonts w:hint="eastAsia"/>
          <w:b w:val="0"/>
          <w:bCs w:val="0"/>
          <w:lang w:eastAsia="zh-CN"/>
        </w:rPr>
        <w:t>）公司收入确认时点的核心判断标准为商品控制权是否已转移给客户，可变对价仅调整交易价格，不延后履约义务确认时点。鉴于A公司历史终端动销数据波动较大，若依赖历史数据进行估计，易受主观判断影响，难以真实、准确地反映业务实质。故基于实际纯销数据进行测算，</w:t>
      </w:r>
      <w:r>
        <w:rPr>
          <w:rFonts w:hint="eastAsia"/>
          <w:b w:val="0"/>
          <w:bCs w:val="0"/>
          <w:lang w:val="en-US" w:eastAsia="zh-CN"/>
        </w:rPr>
        <w:t>能</w:t>
      </w:r>
      <w:r>
        <w:rPr>
          <w:rFonts w:hint="eastAsia"/>
          <w:b w:val="0"/>
          <w:bCs w:val="0"/>
          <w:lang w:eastAsia="zh-CN"/>
        </w:rPr>
        <w:t>有效降低可变对价的不确定性，与《企业会计准则》中‘极可能不会发生重大转回’的限制性要求并不矛盾。”</w:t>
      </w:r>
    </w:p>
    <w:p w14:paraId="4979B2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二</w:t>
      </w:r>
      <w:r>
        <w:rPr>
          <w:rFonts w:hint="eastAsia"/>
          <w:b w:val="0"/>
          <w:bCs w:val="0"/>
          <w:lang w:eastAsia="zh-CN"/>
        </w:rPr>
        <w:t>）控制权在乙方签收货物时已完整转移，大额终端退货不改变风险转移事实</w:t>
      </w:r>
    </w:p>
    <w:p w14:paraId="530440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依据收入准则控制权五要素逐项核对：</w:t>
      </w:r>
    </w:p>
    <w:p w14:paraId="4332E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  <w:lang w:eastAsia="zh-CN"/>
        </w:rPr>
        <w:t>）现时收款权利：</w:t>
      </w:r>
      <w:r>
        <w:rPr>
          <w:rFonts w:hint="eastAsia"/>
          <w:b w:val="0"/>
          <w:bCs w:val="0"/>
          <w:lang w:val="en-US" w:eastAsia="zh-CN"/>
        </w:rPr>
        <w:t>先款后货，甲方已完成收取货款的法定权利，</w:t>
      </w:r>
      <w:r>
        <w:rPr>
          <w:rFonts w:hint="eastAsia"/>
          <w:b w:val="0"/>
          <w:bCs w:val="0"/>
          <w:lang w:eastAsia="zh-CN"/>
        </w:rPr>
        <w:t>货物交付，</w:t>
      </w:r>
      <w:r>
        <w:rPr>
          <w:rFonts w:hint="eastAsia"/>
          <w:b w:val="0"/>
          <w:bCs w:val="0"/>
          <w:lang w:val="en-US" w:eastAsia="zh-CN"/>
        </w:rPr>
        <w:t>同时开具</w:t>
      </w:r>
      <w:r>
        <w:rPr>
          <w:rFonts w:hint="eastAsia"/>
          <w:b w:val="0"/>
          <w:bCs w:val="0"/>
          <w:lang w:eastAsia="zh-CN"/>
        </w:rPr>
        <w:t>发票；</w:t>
      </w:r>
    </w:p>
    <w:p w14:paraId="460059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（2）</w:t>
      </w:r>
      <w:r>
        <w:rPr>
          <w:rFonts w:hint="eastAsia"/>
          <w:b w:val="0"/>
          <w:bCs w:val="0"/>
          <w:lang w:eastAsia="zh-CN"/>
        </w:rPr>
        <w:t>法定所有权转移：药品实物、</w:t>
      </w:r>
      <w:r>
        <w:rPr>
          <w:rFonts w:hint="eastAsia"/>
          <w:b w:val="0"/>
          <w:bCs w:val="0"/>
          <w:lang w:val="en-US" w:eastAsia="zh-CN"/>
        </w:rPr>
        <w:t>移交给乙方后，</w:t>
      </w:r>
      <w:r>
        <w:rPr>
          <w:rFonts w:hint="eastAsia"/>
          <w:b w:val="0"/>
          <w:bCs w:val="0"/>
          <w:lang w:eastAsia="zh-CN"/>
        </w:rPr>
        <w:t>法定物权全部转移至乙方；</w:t>
      </w:r>
    </w:p>
    <w:p w14:paraId="72D12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  <w:lang w:eastAsia="zh-CN"/>
        </w:rPr>
        <w:t>）实物管控：货物存放乙方仓库，由乙方完成仓储、调配；</w:t>
      </w:r>
    </w:p>
    <w:p w14:paraId="593842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4</w:t>
      </w:r>
      <w:r>
        <w:rPr>
          <w:rFonts w:hint="eastAsia"/>
          <w:b w:val="0"/>
          <w:bCs w:val="0"/>
          <w:lang w:eastAsia="zh-CN"/>
        </w:rPr>
        <w:t>）主要风险报酬转移：乙方在收到甲方产品后，一切风险由乙方承担，甲方不承担渠道经营风险；</w:t>
      </w:r>
    </w:p>
    <w:p w14:paraId="627BDB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5</w:t>
      </w:r>
      <w:r>
        <w:rPr>
          <w:rFonts w:hint="eastAsia"/>
          <w:b w:val="0"/>
          <w:bCs w:val="0"/>
          <w:lang w:eastAsia="zh-CN"/>
        </w:rPr>
        <w:t>）验收无无条件退货权：乙方收货验收后，产品所有权即归乙方所有，仅质量瑕疵可退货，无通用滞销退货权利。</w:t>
      </w:r>
    </w:p>
    <w:p w14:paraId="3C517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三</w:t>
      </w:r>
      <w:r>
        <w:rPr>
          <w:rFonts w:hint="eastAsia"/>
          <w:b w:val="0"/>
          <w:bCs w:val="0"/>
          <w:lang w:eastAsia="zh-CN"/>
        </w:rPr>
        <w:t>）业务属于买断经销，并非委托代销，一级经销商为独立客户，</w:t>
      </w:r>
      <w:r>
        <w:rPr>
          <w:rFonts w:hint="eastAsia"/>
          <w:b w:val="0"/>
          <w:bCs w:val="0"/>
          <w:lang w:val="en-US" w:eastAsia="zh-CN"/>
        </w:rPr>
        <w:t>可自主选择对外销售，</w:t>
      </w:r>
      <w:r>
        <w:rPr>
          <w:rFonts w:hint="eastAsia"/>
          <w:b w:val="0"/>
          <w:bCs w:val="0"/>
          <w:lang w:eastAsia="zh-CN"/>
        </w:rPr>
        <w:t>并非甲方代销平台，不能以终端销售作为收入确认时点。</w:t>
      </w:r>
    </w:p>
    <w:p w14:paraId="714BAA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四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  <w:lang w:val="en-US" w:eastAsia="zh-CN"/>
        </w:rPr>
        <w:t>按终端销售确认收入，存在实务不合理性</w:t>
      </w:r>
    </w:p>
    <w:p w14:paraId="23FEFB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  <w:lang w:eastAsia="zh-CN"/>
        </w:rPr>
        <w:t>）甲方与丙方无直接购销合同，无直接发货、收款权利，终端不属于甲方合同客户</w:t>
      </w:r>
    </w:p>
    <w:p w14:paraId="43A10A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2</w:t>
      </w:r>
      <w:r>
        <w:rPr>
          <w:rFonts w:hint="eastAsia"/>
          <w:b w:val="0"/>
          <w:bCs w:val="0"/>
          <w:lang w:eastAsia="zh-CN"/>
        </w:rPr>
        <w:t>）经销商年末</w:t>
      </w:r>
      <w:r>
        <w:rPr>
          <w:rFonts w:hint="eastAsia"/>
          <w:b w:val="0"/>
          <w:bCs w:val="0"/>
          <w:lang w:val="en-US" w:eastAsia="zh-CN"/>
        </w:rPr>
        <w:t>会</w:t>
      </w:r>
      <w:r>
        <w:rPr>
          <w:rFonts w:hint="eastAsia"/>
          <w:b w:val="0"/>
          <w:bCs w:val="0"/>
          <w:lang w:eastAsia="zh-CN"/>
        </w:rPr>
        <w:t>集中采购，若等待终端动销确认收入，将造成收入跨期大幅失真，违背权责发生制；</w:t>
      </w:r>
    </w:p>
    <w:p w14:paraId="4A0E1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200"/>
        <w:jc w:val="left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  <w:lang w:val="en-US" w:eastAsia="zh-CN"/>
        </w:rPr>
        <w:t>货款已经收到，</w:t>
      </w:r>
      <w:r>
        <w:rPr>
          <w:rFonts w:hint="eastAsia"/>
          <w:b w:val="0"/>
          <w:bCs w:val="0"/>
          <w:lang w:eastAsia="zh-CN"/>
        </w:rPr>
        <w:t>经济利益很可能流入，满足收入确认核心条件。</w:t>
      </w:r>
      <w:r>
        <w:rPr>
          <w:rFonts w:hint="eastAsia"/>
          <w:b w:val="0"/>
          <w:bCs w:val="0"/>
          <w:lang w:val="en-US" w:eastAsia="zh-CN"/>
        </w:rPr>
        <w:t xml:space="preserve"> </w:t>
      </w:r>
      <w:bookmarkStart w:id="0" w:name="_GoBack"/>
      <w:bookmarkEnd w:id="0"/>
    </w:p>
    <w:p w14:paraId="249B7552">
      <w:pPr>
        <w:pStyle w:val="4"/>
        <w:spacing w:before="0" w:after="0"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四、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案例解析</w:t>
      </w:r>
    </w:p>
    <w:p w14:paraId="6BE847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105ED"/>
    <w:rsid w:val="1A967AAA"/>
    <w:rsid w:val="1BC85964"/>
    <w:rsid w:val="4A3A2FCA"/>
    <w:rsid w:val="5973493E"/>
    <w:rsid w:val="748853B4"/>
    <w:rsid w:val="762125FD"/>
    <w:rsid w:val="763F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qFormat/>
    <w:uiPriority w:val="0"/>
    <w:pPr>
      <w:spacing w:before="50" w:beforeLines="50"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3"/>
      <w:lang w:val="en-US" w:eastAsia="zh-CN" w:bidi="ar-SA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1732</Words>
  <Characters>1754</Characters>
  <Lines>0</Lines>
  <Paragraphs>0</Paragraphs>
  <TotalTime>40</TotalTime>
  <ScaleCrop>false</ScaleCrop>
  <LinksUpToDate>false</LinksUpToDate>
  <CharactersWithSpaces>1755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2026-06-12T07:32:00Z</dcterms:created>
  <dc:creator>18610</dc:creator>
  <cp:lastModifiedBy>文瑶-cappuccino</cp:lastModifiedBy>
  <dcterms:modified xsi:type="dcterms:W3CDTF">2026-07-10T08:05:53Z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eyJoZGlkIjoiNGJmMjc2Njc5MjI2MTljOGZlMGFlNWY5YWFlZDM1OGQiLCJ1c2VySWQiOiI0NDExNTAwOTgifQ==</vt:lpwstr>
  </property>
  <property fmtid="{D5CDD505-2E9C-101B-9397-08002B2CF9AE}" pid="4" name="ICV">
    <vt:lpwstr>164E7F7381B246D88277FAA83E38F3C8_12</vt:lpwstr>
  </property>
</Properties>
</file>