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034D5D" w14:textId="77777777" w:rsidR="006A550D" w:rsidRDefault="0071722E">
      <w:pPr>
        <w:spacing w:line="360" w:lineRule="auto"/>
        <w:jc w:val="center"/>
        <w:rPr>
          <w:b/>
          <w:bCs/>
          <w:sz w:val="24"/>
          <w:szCs w:val="28"/>
        </w:rPr>
      </w:pPr>
      <w:r>
        <w:rPr>
          <w:rFonts w:ascii="仿宋" w:eastAsia="仿宋" w:hAnsi="仿宋" w:hint="eastAsia"/>
          <w:b/>
          <w:bCs/>
          <w:sz w:val="32"/>
          <w:szCs w:val="32"/>
        </w:rPr>
        <w:t>202</w:t>
      </w:r>
      <w:r>
        <w:rPr>
          <w:rFonts w:ascii="仿宋" w:eastAsia="仿宋" w:hAnsi="仿宋"/>
          <w:b/>
          <w:bCs/>
          <w:sz w:val="32"/>
          <w:szCs w:val="32"/>
        </w:rPr>
        <w:t>6</w:t>
      </w:r>
      <w:r>
        <w:rPr>
          <w:rFonts w:ascii="仿宋" w:eastAsia="仿宋" w:hAnsi="仿宋" w:hint="eastAsia"/>
          <w:b/>
          <w:bCs/>
          <w:sz w:val="32"/>
          <w:szCs w:val="32"/>
        </w:rPr>
        <w:t>年度业务研讨会资料</w:t>
      </w:r>
    </w:p>
    <w:p w14:paraId="1875249E" w14:textId="77777777" w:rsidR="006A550D" w:rsidRDefault="006A550D">
      <w:pPr>
        <w:spacing w:line="360" w:lineRule="auto"/>
        <w:jc w:val="center"/>
        <w:rPr>
          <w:bCs/>
          <w:sz w:val="24"/>
          <w:szCs w:val="28"/>
        </w:rPr>
      </w:pPr>
    </w:p>
    <w:p w14:paraId="3A2BA2B3" w14:textId="77777777" w:rsidR="006A550D" w:rsidRDefault="0071722E">
      <w:pPr>
        <w:pStyle w:val="1"/>
        <w:spacing w:before="0" w:after="0" w:line="360" w:lineRule="auto"/>
        <w:ind w:firstLineChars="200" w:firstLine="438"/>
        <w:jc w:val="left"/>
        <w:rPr>
          <w:rFonts w:ascii="仿宋" w:eastAsia="仿宋" w:hAnsi="仿宋"/>
          <w:b/>
          <w:color w:val="auto"/>
          <w:sz w:val="21"/>
          <w:szCs w:val="21"/>
        </w:rPr>
      </w:pPr>
      <w:bookmarkStart w:id="0" w:name="_Toc217984520"/>
      <w:r>
        <w:rPr>
          <w:rStyle w:val="ac"/>
          <w:rFonts w:ascii="仿宋" w:eastAsia="仿宋" w:hAnsi="仿宋" w:hint="eastAsia"/>
          <w:bCs w:val="0"/>
          <w:color w:val="auto"/>
          <w:spacing w:val="8"/>
          <w:sz w:val="21"/>
          <w:szCs w:val="21"/>
        </w:rPr>
        <w:t>审计</w:t>
      </w:r>
      <w:r>
        <w:rPr>
          <w:rStyle w:val="ac"/>
          <w:rFonts w:ascii="仿宋" w:eastAsia="仿宋" w:hAnsi="仿宋"/>
          <w:bCs w:val="0"/>
          <w:color w:val="auto"/>
          <w:spacing w:val="8"/>
          <w:sz w:val="21"/>
          <w:szCs w:val="21"/>
        </w:rPr>
        <w:t>2</w:t>
      </w:r>
      <w:r>
        <w:rPr>
          <w:rStyle w:val="ac"/>
          <w:rFonts w:ascii="仿宋" w:eastAsia="仿宋" w:hAnsi="仿宋" w:hint="eastAsia"/>
          <w:bCs w:val="0"/>
          <w:color w:val="auto"/>
          <w:spacing w:val="8"/>
          <w:sz w:val="21"/>
          <w:szCs w:val="21"/>
        </w:rPr>
        <w:t>8</w:t>
      </w:r>
      <w:r>
        <w:rPr>
          <w:rStyle w:val="ac"/>
          <w:rFonts w:ascii="仿宋" w:eastAsia="仿宋" w:hAnsi="仿宋" w:hint="eastAsia"/>
          <w:bCs w:val="0"/>
          <w:color w:val="auto"/>
          <w:spacing w:val="8"/>
          <w:sz w:val="21"/>
          <w:szCs w:val="21"/>
        </w:rPr>
        <w:t>部</w:t>
      </w:r>
      <w:bookmarkEnd w:id="0"/>
    </w:p>
    <w:p w14:paraId="370D8A9D" w14:textId="77777777" w:rsidR="006A550D" w:rsidRDefault="0071722E">
      <w:pPr>
        <w:pStyle w:val="2"/>
        <w:spacing w:before="0" w:after="0" w:line="360" w:lineRule="auto"/>
        <w:ind w:firstLineChars="200" w:firstLine="438"/>
        <w:jc w:val="left"/>
        <w:rPr>
          <w:rFonts w:ascii="仿宋" w:eastAsia="仿宋" w:hAnsi="仿宋"/>
          <w:b/>
          <w:color w:val="auto"/>
          <w:sz w:val="21"/>
          <w:szCs w:val="21"/>
        </w:rPr>
      </w:pPr>
      <w:bookmarkStart w:id="1" w:name="_Toc217984521"/>
      <w:r>
        <w:rPr>
          <w:rStyle w:val="ac"/>
          <w:rFonts w:ascii="仿宋" w:eastAsia="仿宋" w:hAnsi="仿宋" w:hint="eastAsia"/>
          <w:bCs w:val="0"/>
          <w:color w:val="auto"/>
          <w:spacing w:val="8"/>
          <w:sz w:val="21"/>
          <w:szCs w:val="21"/>
        </w:rPr>
        <w:t>案例</w:t>
      </w:r>
      <w:r>
        <w:rPr>
          <w:rStyle w:val="ac"/>
          <w:rFonts w:ascii="仿宋" w:eastAsia="仿宋" w:hAnsi="仿宋" w:hint="eastAsia"/>
          <w:bCs w:val="0"/>
          <w:color w:val="auto"/>
          <w:spacing w:val="8"/>
          <w:sz w:val="21"/>
          <w:szCs w:val="21"/>
        </w:rPr>
        <w:t>1</w:t>
      </w:r>
      <w:r>
        <w:rPr>
          <w:rStyle w:val="ac"/>
          <w:rFonts w:ascii="仿宋" w:eastAsia="仿宋" w:hAnsi="仿宋" w:hint="eastAsia"/>
          <w:bCs w:val="0"/>
          <w:color w:val="auto"/>
          <w:spacing w:val="8"/>
          <w:sz w:val="21"/>
          <w:szCs w:val="21"/>
        </w:rPr>
        <w:t>：</w:t>
      </w:r>
      <w:bookmarkEnd w:id="1"/>
      <w:r>
        <w:rPr>
          <w:rStyle w:val="ac"/>
          <w:rFonts w:ascii="仿宋" w:eastAsia="仿宋" w:hAnsi="仿宋" w:hint="eastAsia"/>
          <w:bCs w:val="0"/>
          <w:color w:val="auto"/>
          <w:spacing w:val="8"/>
          <w:sz w:val="21"/>
          <w:szCs w:val="21"/>
        </w:rPr>
        <w:t>商业航天动力试车</w:t>
      </w:r>
      <w:proofErr w:type="gramStart"/>
      <w:r>
        <w:rPr>
          <w:rStyle w:val="ac"/>
          <w:rFonts w:ascii="仿宋" w:eastAsia="仿宋" w:hAnsi="仿宋" w:hint="eastAsia"/>
          <w:bCs w:val="0"/>
          <w:color w:val="auto"/>
          <w:spacing w:val="8"/>
          <w:sz w:val="21"/>
          <w:szCs w:val="21"/>
        </w:rPr>
        <w:t>台转固</w:t>
      </w:r>
      <w:proofErr w:type="gramEnd"/>
      <w:r>
        <w:rPr>
          <w:rStyle w:val="ac"/>
          <w:rFonts w:ascii="仿宋" w:eastAsia="仿宋" w:hAnsi="仿宋" w:hint="eastAsia"/>
          <w:bCs w:val="0"/>
          <w:color w:val="auto"/>
          <w:spacing w:val="8"/>
          <w:sz w:val="21"/>
          <w:szCs w:val="21"/>
        </w:rPr>
        <w:t>时点</w:t>
      </w:r>
      <w:r>
        <w:rPr>
          <w:rStyle w:val="ac"/>
          <w:rFonts w:ascii="仿宋" w:eastAsia="仿宋" w:hAnsi="仿宋" w:hint="eastAsia"/>
          <w:bCs w:val="0"/>
          <w:color w:val="auto"/>
          <w:spacing w:val="8"/>
          <w:sz w:val="21"/>
          <w:szCs w:val="21"/>
        </w:rPr>
        <w:t>（主讲人：</w:t>
      </w:r>
      <w:r>
        <w:rPr>
          <w:rStyle w:val="ac"/>
          <w:rFonts w:ascii="仿宋" w:eastAsia="仿宋" w:hAnsi="仿宋" w:hint="eastAsia"/>
          <w:bCs w:val="0"/>
          <w:color w:val="auto"/>
          <w:spacing w:val="8"/>
          <w:sz w:val="21"/>
          <w:szCs w:val="21"/>
        </w:rPr>
        <w:t>何忻航</w:t>
      </w:r>
      <w:r>
        <w:rPr>
          <w:rStyle w:val="ac"/>
          <w:rFonts w:ascii="仿宋" w:eastAsia="仿宋" w:hAnsi="仿宋" w:hint="eastAsia"/>
          <w:bCs w:val="0"/>
          <w:color w:val="auto"/>
          <w:spacing w:val="8"/>
          <w:sz w:val="21"/>
          <w:szCs w:val="21"/>
        </w:rPr>
        <w:t>）</w:t>
      </w:r>
    </w:p>
    <w:p w14:paraId="6D1ADA0A" w14:textId="77777777" w:rsidR="006A550D" w:rsidRDefault="0071722E">
      <w:pPr>
        <w:pStyle w:val="3"/>
        <w:spacing w:before="0" w:after="0" w:line="360" w:lineRule="auto"/>
        <w:ind w:firstLineChars="200" w:firstLine="422"/>
        <w:jc w:val="left"/>
        <w:rPr>
          <w:b/>
          <w:bCs/>
          <w:color w:val="auto"/>
          <w:sz w:val="24"/>
          <w:szCs w:val="28"/>
        </w:rPr>
      </w:pPr>
      <w:bookmarkStart w:id="2" w:name="_Toc217984522"/>
      <w:r>
        <w:rPr>
          <w:rFonts w:ascii="仿宋" w:eastAsia="仿宋" w:hAnsi="仿宋" w:hint="eastAsia"/>
          <w:b/>
          <w:color w:val="auto"/>
          <w:sz w:val="21"/>
          <w:szCs w:val="21"/>
        </w:rPr>
        <w:t>一、案例背景</w:t>
      </w:r>
      <w:bookmarkEnd w:id="2"/>
    </w:p>
    <w:p w14:paraId="5416B3F6" w14:textId="77777777" w:rsidR="006A550D" w:rsidRDefault="0071722E">
      <w:pPr>
        <w:spacing w:line="360" w:lineRule="auto"/>
        <w:ind w:firstLineChars="200" w:firstLine="420"/>
        <w:rPr>
          <w:rFonts w:ascii="仿宋" w:eastAsia="仿宋" w:hAnsi="仿宋" w:cs="Times New Roman"/>
          <w:bCs/>
          <w:szCs w:val="21"/>
        </w:rPr>
      </w:pPr>
      <w:r>
        <w:rPr>
          <w:rFonts w:ascii="仿宋" w:eastAsia="仿宋" w:hAnsi="仿宋" w:cs="Times New Roman" w:hint="eastAsia"/>
          <w:bCs/>
          <w:szCs w:val="21"/>
        </w:rPr>
        <w:t>1</w:t>
      </w:r>
      <w:r>
        <w:rPr>
          <w:rFonts w:ascii="仿宋" w:eastAsia="仿宋" w:hAnsi="仿宋" w:cs="Times New Roman" w:hint="eastAsia"/>
          <w:bCs/>
          <w:szCs w:val="21"/>
        </w:rPr>
        <w:t>、</w:t>
      </w:r>
      <w:r>
        <w:rPr>
          <w:rFonts w:ascii="仿宋" w:eastAsia="仿宋" w:hAnsi="仿宋" w:cs="Times New Roman"/>
          <w:bCs/>
          <w:szCs w:val="21"/>
        </w:rPr>
        <w:t>业务介绍</w:t>
      </w:r>
    </w:p>
    <w:p w14:paraId="05705FD9" w14:textId="6138B65B" w:rsidR="006A550D" w:rsidRDefault="0071722E">
      <w:pPr>
        <w:autoSpaceDE w:val="0"/>
        <w:autoSpaceDN w:val="0"/>
        <w:adjustRightInd w:val="0"/>
        <w:spacing w:line="360" w:lineRule="auto"/>
        <w:ind w:firstLineChars="200" w:firstLine="420"/>
        <w:rPr>
          <w:rFonts w:ascii="仿宋" w:eastAsia="仿宋" w:hAnsi="仿宋"/>
          <w:szCs w:val="21"/>
        </w:rPr>
      </w:pPr>
      <w:r>
        <w:rPr>
          <w:rFonts w:ascii="仿宋" w:eastAsia="仿宋" w:hAnsi="仿宋" w:hint="eastAsia"/>
          <w:szCs w:val="21"/>
        </w:rPr>
        <w:t>A</w:t>
      </w:r>
      <w:r>
        <w:rPr>
          <w:rFonts w:ascii="仿宋" w:eastAsia="仿宋" w:hAnsi="仿宋" w:hint="eastAsia"/>
          <w:szCs w:val="21"/>
        </w:rPr>
        <w:t>公司是国内专注于商业航天动力系统研发、试验与配套服务的企业，该企业于</w:t>
      </w:r>
      <w:r>
        <w:rPr>
          <w:rFonts w:ascii="仿宋" w:eastAsia="仿宋" w:hAnsi="仿宋" w:hint="eastAsia"/>
          <w:szCs w:val="21"/>
        </w:rPr>
        <w:t>2024</w:t>
      </w:r>
      <w:r>
        <w:rPr>
          <w:rFonts w:ascii="仿宋" w:eastAsia="仿宋" w:hAnsi="仿宋" w:hint="eastAsia"/>
          <w:szCs w:val="21"/>
        </w:rPr>
        <w:t>年在山东省建设</w:t>
      </w:r>
      <w:proofErr w:type="gramStart"/>
      <w:r>
        <w:rPr>
          <w:rFonts w:ascii="仿宋" w:eastAsia="仿宋" w:hAnsi="仿宋" w:hint="eastAsia"/>
          <w:szCs w:val="21"/>
        </w:rPr>
        <w:t>一</w:t>
      </w:r>
      <w:proofErr w:type="gramEnd"/>
      <w:r>
        <w:rPr>
          <w:rFonts w:ascii="仿宋" w:eastAsia="仿宋" w:hAnsi="仿宋" w:hint="eastAsia"/>
          <w:szCs w:val="21"/>
        </w:rPr>
        <w:t>动力试车基地，该基地主要用于航天发动机整机、部件的点火试车可靠性验证等核心试验工序，设备及精度要求高、试验工况损耗特殊，资产使用寿命与实际试验作业次数强相关，因此公司对该试车基地固定资产审慎选用工作量法计提累计折旧，工程师预估该试车</w:t>
      </w:r>
      <w:proofErr w:type="gramStart"/>
      <w:r>
        <w:rPr>
          <w:rFonts w:ascii="仿宋" w:eastAsia="仿宋" w:hAnsi="仿宋" w:hint="eastAsia"/>
          <w:szCs w:val="21"/>
        </w:rPr>
        <w:t>基地转固</w:t>
      </w:r>
      <w:proofErr w:type="gramEnd"/>
      <w:r>
        <w:rPr>
          <w:rFonts w:ascii="仿宋" w:eastAsia="仿宋" w:hAnsi="仿宋" w:hint="eastAsia"/>
          <w:szCs w:val="21"/>
        </w:rPr>
        <w:t>后预计可使用</w:t>
      </w:r>
      <w:r>
        <w:rPr>
          <w:rFonts w:ascii="仿宋" w:eastAsia="仿宋" w:hAnsi="仿宋" w:hint="eastAsia"/>
          <w:szCs w:val="21"/>
        </w:rPr>
        <w:t>60</w:t>
      </w:r>
      <w:r>
        <w:rPr>
          <w:rFonts w:ascii="仿宋" w:eastAsia="仿宋" w:hAnsi="仿宋" w:hint="eastAsia"/>
          <w:szCs w:val="21"/>
        </w:rPr>
        <w:t>次。试车基地于</w:t>
      </w:r>
      <w:r>
        <w:rPr>
          <w:rFonts w:ascii="仿宋" w:eastAsia="仿宋" w:hAnsi="仿宋" w:hint="eastAsia"/>
          <w:szCs w:val="21"/>
        </w:rPr>
        <w:t>25</w:t>
      </w:r>
      <w:r>
        <w:rPr>
          <w:rFonts w:ascii="仿宋" w:eastAsia="仿宋" w:hAnsi="仿宋" w:hint="eastAsia"/>
          <w:szCs w:val="21"/>
        </w:rPr>
        <w:t>年</w:t>
      </w:r>
      <w:r>
        <w:rPr>
          <w:rFonts w:ascii="仿宋" w:eastAsia="仿宋" w:hAnsi="仿宋" w:hint="eastAsia"/>
          <w:szCs w:val="21"/>
        </w:rPr>
        <w:t>12</w:t>
      </w:r>
      <w:r>
        <w:rPr>
          <w:rFonts w:ascii="仿宋" w:eastAsia="仿宋" w:hAnsi="仿宋" w:hint="eastAsia"/>
          <w:szCs w:val="21"/>
        </w:rPr>
        <w:t>月整体验收转固，</w:t>
      </w:r>
      <w:proofErr w:type="gramStart"/>
      <w:r>
        <w:rPr>
          <w:rFonts w:ascii="仿宋" w:eastAsia="仿宋" w:hAnsi="仿宋" w:hint="eastAsia"/>
          <w:szCs w:val="21"/>
        </w:rPr>
        <w:t>转固金额</w:t>
      </w:r>
      <w:proofErr w:type="gramEnd"/>
      <w:r>
        <w:rPr>
          <w:rFonts w:ascii="仿宋" w:eastAsia="仿宋" w:hAnsi="仿宋" w:hint="eastAsia"/>
          <w:szCs w:val="21"/>
        </w:rPr>
        <w:t>1900</w:t>
      </w:r>
      <w:r>
        <w:rPr>
          <w:rFonts w:ascii="仿宋" w:eastAsia="仿宋" w:hAnsi="仿宋" w:hint="eastAsia"/>
          <w:szCs w:val="21"/>
        </w:rPr>
        <w:t>万。在试车</w:t>
      </w:r>
      <w:proofErr w:type="gramStart"/>
      <w:r>
        <w:rPr>
          <w:rFonts w:ascii="仿宋" w:eastAsia="仿宋" w:hAnsi="仿宋" w:hint="eastAsia"/>
          <w:szCs w:val="21"/>
        </w:rPr>
        <w:t>基地转固前</w:t>
      </w:r>
      <w:proofErr w:type="gramEnd"/>
      <w:r>
        <w:rPr>
          <w:rFonts w:ascii="仿宋" w:eastAsia="仿宋" w:hAnsi="仿宋" w:hint="eastAsia"/>
          <w:szCs w:val="21"/>
        </w:rPr>
        <w:t>共经历过</w:t>
      </w:r>
      <w:r>
        <w:rPr>
          <w:rFonts w:ascii="仿宋" w:eastAsia="仿宋" w:hAnsi="仿宋" w:hint="eastAsia"/>
          <w:szCs w:val="21"/>
        </w:rPr>
        <w:t>4</w:t>
      </w:r>
      <w:r>
        <w:rPr>
          <w:rFonts w:ascii="仿宋" w:eastAsia="仿宋" w:hAnsi="仿宋" w:hint="eastAsia"/>
          <w:szCs w:val="21"/>
        </w:rPr>
        <w:t>次点火，其中一次为第三方客户提供试车服务，其余三次为关联方提供试车服务，均收</w:t>
      </w:r>
      <w:r>
        <w:rPr>
          <w:rFonts w:ascii="仿宋" w:eastAsia="仿宋" w:hAnsi="仿宋" w:hint="eastAsia"/>
          <w:szCs w:val="21"/>
        </w:rPr>
        <w:t>取对应价款并确认收入，结合航天试车专业验收标准及设备精细化调试要求，虽然四次点火均未发生</w:t>
      </w:r>
      <w:r>
        <w:rPr>
          <w:rFonts w:ascii="仿宋" w:eastAsia="仿宋" w:hAnsi="仿宋" w:hint="eastAsia"/>
          <w:szCs w:val="21"/>
        </w:rPr>
        <w:t>点火失败、设备损毁、安全事故等问题，基本验证了基地核心系统的运行可行性，但基地仍存在部分细节工艺适配、测控参数校准、配套辅助系统优化等待整改问题，因此</w:t>
      </w:r>
      <w:r>
        <w:rPr>
          <w:rFonts w:ascii="仿宋" w:eastAsia="仿宋" w:hAnsi="仿宋" w:hint="eastAsia"/>
          <w:szCs w:val="21"/>
        </w:rPr>
        <w:t>A</w:t>
      </w:r>
      <w:r>
        <w:rPr>
          <w:rFonts w:ascii="仿宋" w:eastAsia="仿宋" w:hAnsi="仿宋" w:hint="eastAsia"/>
          <w:szCs w:val="21"/>
        </w:rPr>
        <w:t>企业认为项目整体未完全达到企业会计准则规定的“预定可使用状态”，直到</w:t>
      </w:r>
      <w:r>
        <w:rPr>
          <w:rFonts w:ascii="仿宋" w:eastAsia="仿宋" w:hAnsi="仿宋" w:hint="eastAsia"/>
          <w:szCs w:val="21"/>
        </w:rPr>
        <w:t>25</w:t>
      </w:r>
      <w:r>
        <w:rPr>
          <w:rFonts w:ascii="仿宋" w:eastAsia="仿宋" w:hAnsi="仿宋" w:hint="eastAsia"/>
          <w:szCs w:val="21"/>
        </w:rPr>
        <w:t>年</w:t>
      </w:r>
      <w:r>
        <w:rPr>
          <w:rFonts w:ascii="仿宋" w:eastAsia="仿宋" w:hAnsi="仿宋" w:hint="eastAsia"/>
          <w:szCs w:val="21"/>
        </w:rPr>
        <w:t>12</w:t>
      </w:r>
      <w:r>
        <w:rPr>
          <w:rFonts w:ascii="仿宋" w:eastAsia="仿宋" w:hAnsi="仿宋" w:hint="eastAsia"/>
          <w:szCs w:val="21"/>
        </w:rPr>
        <w:t>月整体验收后才</w:t>
      </w:r>
      <w:proofErr w:type="gramStart"/>
      <w:r>
        <w:rPr>
          <w:rFonts w:ascii="仿宋" w:eastAsia="仿宋" w:hAnsi="仿宋" w:hint="eastAsia"/>
          <w:szCs w:val="21"/>
        </w:rPr>
        <w:t>进行转固处理</w:t>
      </w:r>
      <w:proofErr w:type="gramEnd"/>
      <w:r>
        <w:rPr>
          <w:rFonts w:ascii="仿宋" w:eastAsia="仿宋" w:hAnsi="仿宋" w:hint="eastAsia"/>
          <w:szCs w:val="21"/>
        </w:rPr>
        <w:t>。</w:t>
      </w:r>
      <w:r>
        <w:rPr>
          <w:rFonts w:ascii="仿宋" w:eastAsia="仿宋" w:hAnsi="仿宋" w:hint="eastAsia"/>
          <w:szCs w:val="21"/>
        </w:rPr>
        <w:t>A</w:t>
      </w:r>
      <w:r>
        <w:rPr>
          <w:rFonts w:ascii="仿宋" w:eastAsia="仿宋" w:hAnsi="仿宋" w:hint="eastAsia"/>
          <w:szCs w:val="21"/>
        </w:rPr>
        <w:t>公司</w:t>
      </w:r>
      <w:proofErr w:type="gramStart"/>
      <w:r>
        <w:rPr>
          <w:rFonts w:ascii="仿宋" w:eastAsia="仿宋" w:hAnsi="仿宋" w:hint="eastAsia"/>
          <w:szCs w:val="21"/>
        </w:rPr>
        <w:t>认为转固验收</w:t>
      </w:r>
      <w:proofErr w:type="gramEnd"/>
      <w:r>
        <w:rPr>
          <w:rFonts w:ascii="仿宋" w:eastAsia="仿宋" w:hAnsi="仿宋" w:hint="eastAsia"/>
          <w:szCs w:val="21"/>
        </w:rPr>
        <w:t>前的点火会消耗基地核心设备、测控系统的使用寿命，属于资产实际损耗范畴，真实占用了基地</w:t>
      </w:r>
      <w:r>
        <w:rPr>
          <w:rFonts w:ascii="仿宋" w:eastAsia="仿宋" w:hAnsi="仿宋" w:hint="eastAsia"/>
          <w:szCs w:val="21"/>
        </w:rPr>
        <w:t>60</w:t>
      </w:r>
      <w:r>
        <w:rPr>
          <w:rFonts w:ascii="仿宋" w:eastAsia="仿宋" w:hAnsi="仿宋" w:hint="eastAsia"/>
          <w:szCs w:val="21"/>
        </w:rPr>
        <w:t>次设计试车寿命额度，所以在</w:t>
      </w:r>
      <w:proofErr w:type="gramStart"/>
      <w:r>
        <w:rPr>
          <w:rFonts w:ascii="仿宋" w:eastAsia="仿宋" w:hAnsi="仿宋" w:hint="eastAsia"/>
          <w:szCs w:val="21"/>
        </w:rPr>
        <w:t>转固后补提</w:t>
      </w:r>
      <w:proofErr w:type="gramEnd"/>
      <w:r>
        <w:rPr>
          <w:rFonts w:ascii="仿宋" w:eastAsia="仿宋" w:hAnsi="仿宋" w:hint="eastAsia"/>
          <w:szCs w:val="21"/>
        </w:rPr>
        <w:t>该部分折旧并确认相</w:t>
      </w:r>
      <w:r>
        <w:rPr>
          <w:rFonts w:ascii="仿宋" w:eastAsia="仿宋" w:hAnsi="仿宋" w:hint="eastAsia"/>
          <w:szCs w:val="21"/>
        </w:rPr>
        <w:t>关成本</w:t>
      </w:r>
      <w:r>
        <w:rPr>
          <w:rFonts w:ascii="仿宋" w:eastAsia="仿宋" w:hAnsi="仿宋" w:hint="eastAsia"/>
          <w:szCs w:val="21"/>
        </w:rPr>
        <w:t>128</w:t>
      </w:r>
      <w:r>
        <w:rPr>
          <w:rFonts w:ascii="仿宋" w:eastAsia="仿宋" w:hAnsi="仿宋" w:hint="eastAsia"/>
          <w:szCs w:val="21"/>
        </w:rPr>
        <w:t>万</w:t>
      </w:r>
    </w:p>
    <w:p w14:paraId="29F67EDD" w14:textId="77777777" w:rsidR="006A550D" w:rsidRDefault="0071722E">
      <w:pPr>
        <w:pStyle w:val="3"/>
        <w:spacing w:before="0" w:after="0" w:line="360" w:lineRule="auto"/>
        <w:ind w:firstLineChars="200" w:firstLine="422"/>
        <w:jc w:val="left"/>
        <w:rPr>
          <w:rFonts w:ascii="仿宋" w:eastAsia="仿宋" w:hAnsi="仿宋"/>
          <w:b/>
          <w:color w:val="auto"/>
          <w:sz w:val="21"/>
          <w:szCs w:val="21"/>
        </w:rPr>
      </w:pPr>
      <w:bookmarkStart w:id="3" w:name="_Toc217984523"/>
      <w:r>
        <w:rPr>
          <w:rFonts w:ascii="仿宋" w:eastAsia="仿宋" w:hAnsi="仿宋" w:hint="eastAsia"/>
          <w:b/>
          <w:color w:val="auto"/>
          <w:sz w:val="21"/>
          <w:szCs w:val="21"/>
        </w:rPr>
        <w:t>二、问题</w:t>
      </w:r>
      <w:bookmarkEnd w:id="3"/>
    </w:p>
    <w:p w14:paraId="04B0EFE5" w14:textId="77777777" w:rsidR="006A550D" w:rsidRDefault="0071722E">
      <w:pPr>
        <w:spacing w:line="360" w:lineRule="auto"/>
        <w:ind w:firstLineChars="200" w:firstLine="420"/>
        <w:rPr>
          <w:rFonts w:ascii="仿宋" w:eastAsia="仿宋" w:hAnsi="仿宋" w:cs="Times New Roman"/>
          <w:szCs w:val="21"/>
        </w:rPr>
      </w:pPr>
      <w:r>
        <w:rPr>
          <w:rFonts w:ascii="仿宋" w:eastAsia="仿宋" w:hAnsi="仿宋" w:cs="Times New Roman" w:hint="eastAsia"/>
          <w:szCs w:val="21"/>
        </w:rPr>
        <w:t>该客户</w:t>
      </w:r>
      <w:proofErr w:type="gramStart"/>
      <w:r>
        <w:rPr>
          <w:rFonts w:ascii="仿宋" w:eastAsia="仿宋" w:hAnsi="仿宋" w:cs="Times New Roman" w:hint="eastAsia"/>
          <w:szCs w:val="21"/>
        </w:rPr>
        <w:t>的转固时点</w:t>
      </w:r>
      <w:proofErr w:type="gramEnd"/>
      <w:r>
        <w:rPr>
          <w:rFonts w:ascii="仿宋" w:eastAsia="仿宋" w:hAnsi="仿宋" w:cs="Times New Roman" w:hint="eastAsia"/>
          <w:szCs w:val="21"/>
        </w:rPr>
        <w:t>是否正确？</w:t>
      </w:r>
      <w:proofErr w:type="gramStart"/>
      <w:r>
        <w:rPr>
          <w:rFonts w:ascii="仿宋" w:eastAsia="仿宋" w:hAnsi="仿宋" w:cs="Times New Roman" w:hint="eastAsia"/>
          <w:szCs w:val="21"/>
        </w:rPr>
        <w:t>客户转固后补</w:t>
      </w:r>
      <w:proofErr w:type="gramEnd"/>
      <w:r>
        <w:rPr>
          <w:rFonts w:ascii="仿宋" w:eastAsia="仿宋" w:hAnsi="仿宋" w:cs="Times New Roman" w:hint="eastAsia"/>
          <w:szCs w:val="21"/>
        </w:rPr>
        <w:t>提折旧的做法是否正确？</w:t>
      </w:r>
    </w:p>
    <w:p w14:paraId="0D09A0F9" w14:textId="77777777" w:rsidR="006A550D" w:rsidRDefault="0071722E">
      <w:pPr>
        <w:pStyle w:val="3"/>
        <w:spacing w:before="0" w:after="0" w:line="360" w:lineRule="auto"/>
        <w:ind w:firstLineChars="200" w:firstLine="422"/>
        <w:jc w:val="left"/>
        <w:rPr>
          <w:rFonts w:ascii="仿宋" w:eastAsia="仿宋" w:hAnsi="仿宋" w:cs="Times New Roman"/>
          <w:b/>
          <w:sz w:val="21"/>
          <w:szCs w:val="21"/>
        </w:rPr>
      </w:pPr>
      <w:r>
        <w:rPr>
          <w:rFonts w:ascii="仿宋" w:eastAsia="仿宋" w:hAnsi="仿宋" w:hint="eastAsia"/>
          <w:b/>
          <w:color w:val="auto"/>
          <w:sz w:val="21"/>
          <w:szCs w:val="21"/>
        </w:rPr>
        <w:t>三、项目组观点</w:t>
      </w:r>
    </w:p>
    <w:p w14:paraId="59C22894" w14:textId="77777777" w:rsidR="006A550D" w:rsidRDefault="0071722E">
      <w:pPr>
        <w:spacing w:line="360" w:lineRule="auto"/>
        <w:ind w:firstLineChars="200" w:firstLine="420"/>
        <w:rPr>
          <w:rFonts w:ascii="仿宋" w:eastAsia="仿宋" w:hAnsi="仿宋" w:cs="Times New Roman"/>
          <w:szCs w:val="21"/>
        </w:rPr>
      </w:pPr>
      <w:r>
        <w:rPr>
          <w:rFonts w:ascii="仿宋" w:eastAsia="仿宋" w:hAnsi="仿宋" w:cs="Times New Roman" w:hint="eastAsia"/>
          <w:szCs w:val="21"/>
        </w:rPr>
        <w:t>该</w:t>
      </w:r>
      <w:proofErr w:type="gramStart"/>
      <w:r>
        <w:rPr>
          <w:rFonts w:ascii="仿宋" w:eastAsia="仿宋" w:hAnsi="仿宋" w:cs="Times New Roman" w:hint="eastAsia"/>
          <w:szCs w:val="21"/>
        </w:rPr>
        <w:t>客户转固时点以及转固后</w:t>
      </w:r>
      <w:proofErr w:type="gramEnd"/>
      <w:r>
        <w:rPr>
          <w:rFonts w:ascii="仿宋" w:eastAsia="仿宋" w:hAnsi="仿宋" w:cs="Times New Roman" w:hint="eastAsia"/>
          <w:szCs w:val="21"/>
        </w:rPr>
        <w:t>补提折旧的做法不正确。</w:t>
      </w:r>
    </w:p>
    <w:p w14:paraId="26C3CFAE" w14:textId="77777777" w:rsidR="006A550D" w:rsidRDefault="0071722E">
      <w:pPr>
        <w:spacing w:line="360" w:lineRule="auto"/>
        <w:ind w:firstLineChars="200" w:firstLine="420"/>
        <w:rPr>
          <w:rFonts w:ascii="仿宋" w:eastAsia="仿宋" w:hAnsi="仿宋" w:cs="Times New Roman"/>
          <w:szCs w:val="21"/>
        </w:rPr>
      </w:pPr>
      <w:r>
        <w:rPr>
          <w:rFonts w:ascii="仿宋" w:eastAsia="仿宋" w:hAnsi="仿宋" w:cs="Times New Roman" w:hint="eastAsia"/>
          <w:szCs w:val="21"/>
        </w:rPr>
        <w:t>根据</w:t>
      </w:r>
      <w:r>
        <w:rPr>
          <w:rFonts w:ascii="仿宋" w:eastAsia="仿宋" w:hAnsi="仿宋" w:cs="Times New Roman" w:hint="eastAsia"/>
          <w:szCs w:val="21"/>
        </w:rPr>
        <w:t>《企业会计准则第</w:t>
      </w:r>
      <w:r>
        <w:rPr>
          <w:rFonts w:ascii="仿宋" w:eastAsia="仿宋" w:hAnsi="仿宋" w:cs="Times New Roman" w:hint="eastAsia"/>
          <w:szCs w:val="21"/>
        </w:rPr>
        <w:t>17</w:t>
      </w:r>
      <w:r>
        <w:rPr>
          <w:rFonts w:ascii="仿宋" w:eastAsia="仿宋" w:hAnsi="仿宋" w:cs="Times New Roman" w:hint="eastAsia"/>
          <w:szCs w:val="21"/>
        </w:rPr>
        <w:t>号——</w:t>
      </w:r>
      <w:r>
        <w:rPr>
          <w:rFonts w:ascii="仿宋" w:eastAsia="仿宋" w:hAnsi="仿宋" w:cs="Times New Roman" w:hint="eastAsia"/>
          <w:szCs w:val="21"/>
        </w:rPr>
        <w:t>借款费用</w:t>
      </w:r>
      <w:r>
        <w:rPr>
          <w:rFonts w:ascii="仿宋" w:eastAsia="仿宋" w:hAnsi="仿宋" w:cs="Times New Roman" w:hint="eastAsia"/>
          <w:szCs w:val="21"/>
        </w:rPr>
        <w:t>》</w:t>
      </w:r>
      <w:r>
        <w:rPr>
          <w:rFonts w:ascii="仿宋" w:eastAsia="仿宋" w:hAnsi="仿宋" w:cs="Times New Roman" w:hint="eastAsia"/>
          <w:szCs w:val="21"/>
        </w:rPr>
        <w:t>第十三条相关规定：购建或者生产符合资本化条件的资产达到预定可使用或者可销售状态，可从下列几个方面进行判断：（</w:t>
      </w:r>
      <w:r>
        <w:rPr>
          <w:rFonts w:ascii="仿宋" w:eastAsia="仿宋" w:hAnsi="仿宋" w:cs="Times New Roman" w:hint="eastAsia"/>
          <w:szCs w:val="21"/>
        </w:rPr>
        <w:t>1</w:t>
      </w:r>
      <w:r>
        <w:rPr>
          <w:rFonts w:ascii="仿宋" w:eastAsia="仿宋" w:hAnsi="仿宋" w:cs="Times New Roman" w:hint="eastAsia"/>
          <w:szCs w:val="21"/>
        </w:rPr>
        <w:t>）符合资本化条件的资产的</w:t>
      </w:r>
      <w:hyperlink r:id="rId4" w:tgtFrame="https://www.casc.org.cn/2018/0815/_blank" w:tooltip="会计百科:实体" w:history="1">
        <w:r>
          <w:rPr>
            <w:rFonts w:ascii="仿宋" w:eastAsia="仿宋" w:hAnsi="仿宋" w:cs="Times New Roman" w:hint="eastAsia"/>
            <w:szCs w:val="21"/>
          </w:rPr>
          <w:t>实体</w:t>
        </w:r>
      </w:hyperlink>
      <w:r>
        <w:rPr>
          <w:rFonts w:ascii="仿宋" w:eastAsia="仿宋" w:hAnsi="仿宋" w:cs="Times New Roman" w:hint="eastAsia"/>
          <w:szCs w:val="21"/>
        </w:rPr>
        <w:t>建造（包括安装）或者生产工作已经全部完成或者实质上已经完成。（</w:t>
      </w:r>
      <w:r>
        <w:rPr>
          <w:rFonts w:ascii="仿宋" w:eastAsia="仿宋" w:hAnsi="仿宋" w:cs="Times New Roman" w:hint="eastAsia"/>
          <w:szCs w:val="21"/>
        </w:rPr>
        <w:t>2</w:t>
      </w:r>
      <w:r>
        <w:rPr>
          <w:rFonts w:ascii="仿宋" w:eastAsia="仿宋" w:hAnsi="仿宋" w:cs="Times New Roman" w:hint="eastAsia"/>
          <w:szCs w:val="21"/>
        </w:rPr>
        <w:t>）所购建或者生产的符合资本化条件的资产与设计要求、</w:t>
      </w:r>
      <w:hyperlink r:id="rId5" w:tgtFrame="https://www.casc.org.cn/2018/0815/_blank" w:tooltip="会计百科:合同" w:history="1">
        <w:r>
          <w:rPr>
            <w:rFonts w:ascii="仿宋" w:eastAsia="仿宋" w:hAnsi="仿宋" w:cs="Times New Roman" w:hint="eastAsia"/>
            <w:szCs w:val="21"/>
          </w:rPr>
          <w:t>合同</w:t>
        </w:r>
      </w:hyperlink>
      <w:r>
        <w:rPr>
          <w:rFonts w:ascii="仿宋" w:eastAsia="仿宋" w:hAnsi="仿宋" w:cs="Times New Roman" w:hint="eastAsia"/>
          <w:szCs w:val="21"/>
        </w:rPr>
        <w:t>规定或者生产要求相符或者基本相符，即使有极个别与设计、合同或者生产要求不相符的地方，也不影响其正常使用或者销售。（</w:t>
      </w:r>
      <w:r>
        <w:rPr>
          <w:rFonts w:ascii="仿宋" w:eastAsia="仿宋" w:hAnsi="仿宋" w:cs="Times New Roman" w:hint="eastAsia"/>
          <w:szCs w:val="21"/>
        </w:rPr>
        <w:t>3</w:t>
      </w:r>
      <w:r>
        <w:rPr>
          <w:rFonts w:ascii="仿宋" w:eastAsia="仿宋" w:hAnsi="仿宋" w:cs="Times New Roman" w:hint="eastAsia"/>
          <w:szCs w:val="21"/>
        </w:rPr>
        <w:t>）继续发生在所购建或生产的符合资本化条件的资产上的支出金额很</w:t>
      </w:r>
      <w:r>
        <w:rPr>
          <w:rFonts w:ascii="仿宋" w:eastAsia="仿宋" w:hAnsi="仿宋" w:cs="Times New Roman" w:hint="eastAsia"/>
          <w:szCs w:val="21"/>
        </w:rPr>
        <w:lastRenderedPageBreak/>
        <w:t>少或者几乎不再发生。购建或者生产符合资本化条件的资产需要试生产或者试运行的，在试生产结果表明资产能够正常生产出合格产品、或者试运行结果表明资产能够正常运转或者营业时，应当认为该资产已</w:t>
      </w:r>
      <w:hyperlink r:id="rId6" w:tgtFrame="https://www.casc.org.cn/2018/0815/_blank" w:tooltip="会计百科:经达" w:history="1">
        <w:r>
          <w:rPr>
            <w:rFonts w:ascii="仿宋" w:eastAsia="仿宋" w:hAnsi="仿宋" w:cs="Times New Roman" w:hint="eastAsia"/>
            <w:szCs w:val="21"/>
          </w:rPr>
          <w:t>经达</w:t>
        </w:r>
      </w:hyperlink>
      <w:r>
        <w:rPr>
          <w:rFonts w:ascii="仿宋" w:eastAsia="仿宋" w:hAnsi="仿宋" w:cs="Times New Roman" w:hint="eastAsia"/>
          <w:szCs w:val="21"/>
        </w:rPr>
        <w:t>到预定可使用或者可销售状态。</w:t>
      </w:r>
    </w:p>
    <w:p w14:paraId="39CCE923" w14:textId="77777777" w:rsidR="006A550D" w:rsidRDefault="0071722E">
      <w:pPr>
        <w:spacing w:line="360" w:lineRule="auto"/>
        <w:ind w:firstLineChars="200" w:firstLine="420"/>
        <w:rPr>
          <w:rFonts w:ascii="仿宋" w:eastAsia="仿宋" w:hAnsi="仿宋" w:cs="Times New Roman"/>
          <w:szCs w:val="21"/>
        </w:rPr>
      </w:pPr>
      <w:r>
        <w:rPr>
          <w:rFonts w:ascii="仿宋" w:eastAsia="仿宋" w:hAnsi="仿宋" w:cs="Times New Roman" w:hint="eastAsia"/>
          <w:szCs w:val="21"/>
        </w:rPr>
        <w:t>根据《企业会计准则第</w:t>
      </w:r>
      <w:r>
        <w:rPr>
          <w:rFonts w:ascii="仿宋" w:eastAsia="仿宋" w:hAnsi="仿宋" w:cs="Times New Roman" w:hint="eastAsia"/>
          <w:szCs w:val="21"/>
        </w:rPr>
        <w:t>4</w:t>
      </w:r>
      <w:r>
        <w:rPr>
          <w:rFonts w:ascii="仿宋" w:eastAsia="仿宋" w:hAnsi="仿宋" w:cs="Times New Roman" w:hint="eastAsia"/>
          <w:szCs w:val="21"/>
        </w:rPr>
        <w:t>号——固定资产》及准则应用指南</w:t>
      </w:r>
      <w:r>
        <w:rPr>
          <w:rFonts w:ascii="仿宋" w:eastAsia="仿宋" w:hAnsi="仿宋" w:cs="Times New Roman" w:hint="eastAsia"/>
          <w:szCs w:val="21"/>
        </w:rPr>
        <w:t>相关规定：固定资产应当自“达到预定可使用状态”时开始计提折旧。当月增加的固定资产，当月不计提折旧，从下月起计提折旧。</w:t>
      </w:r>
    </w:p>
    <w:p w14:paraId="029E1A44" w14:textId="77777777" w:rsidR="006A550D" w:rsidRDefault="0071722E">
      <w:pPr>
        <w:spacing w:line="360" w:lineRule="auto"/>
        <w:ind w:firstLineChars="200" w:firstLine="420"/>
        <w:rPr>
          <w:rFonts w:ascii="仿宋" w:eastAsia="仿宋" w:hAnsi="仿宋" w:cs="Times New Roman"/>
          <w:szCs w:val="21"/>
        </w:rPr>
      </w:pPr>
      <w:r>
        <w:rPr>
          <w:rFonts w:ascii="仿宋" w:eastAsia="仿宋" w:hAnsi="仿宋" w:cs="Times New Roman" w:hint="eastAsia"/>
          <w:szCs w:val="21"/>
        </w:rPr>
        <w:t>根据《企业会计准则解释第</w:t>
      </w:r>
      <w:r>
        <w:rPr>
          <w:rFonts w:ascii="仿宋" w:eastAsia="仿宋" w:hAnsi="仿宋" w:cs="Times New Roman" w:hint="eastAsia"/>
          <w:szCs w:val="21"/>
        </w:rPr>
        <w:t>15</w:t>
      </w:r>
      <w:r>
        <w:rPr>
          <w:rFonts w:ascii="仿宋" w:eastAsia="仿宋" w:hAnsi="仿宋" w:cs="Times New Roman" w:hint="eastAsia"/>
          <w:szCs w:val="21"/>
        </w:rPr>
        <w:t>号》和《企业会计准则应用指南汇编</w:t>
      </w:r>
      <w:r>
        <w:rPr>
          <w:rFonts w:ascii="仿宋" w:eastAsia="仿宋" w:hAnsi="仿宋" w:cs="Times New Roman" w:hint="eastAsia"/>
          <w:szCs w:val="21"/>
        </w:rPr>
        <w:t>2024</w:t>
      </w:r>
      <w:r>
        <w:rPr>
          <w:rFonts w:ascii="仿宋" w:eastAsia="仿宋" w:hAnsi="仿宋" w:cs="Times New Roman" w:hint="eastAsia"/>
          <w:szCs w:val="21"/>
        </w:rPr>
        <w:t>》相关规定：试运行期间产出的产品或副产品对外销售的，应按收入准则、存货准则处理，计入当期损益，不能冲减在建工程成本。</w:t>
      </w:r>
    </w:p>
    <w:p w14:paraId="541C1158" w14:textId="132BB4E8" w:rsidR="006A550D" w:rsidRDefault="0071722E">
      <w:pPr>
        <w:spacing w:line="360" w:lineRule="auto"/>
        <w:ind w:firstLineChars="200" w:firstLine="420"/>
        <w:rPr>
          <w:rFonts w:ascii="仿宋" w:eastAsia="仿宋" w:hAnsi="仿宋" w:cs="Times New Roman"/>
          <w:szCs w:val="21"/>
        </w:rPr>
      </w:pPr>
      <w:r>
        <w:rPr>
          <w:rFonts w:ascii="仿宋" w:eastAsia="仿宋" w:hAnsi="仿宋" w:cs="Times New Roman" w:hint="eastAsia"/>
          <w:szCs w:val="21"/>
        </w:rPr>
        <w:t>本次动力试车基地虽直至</w:t>
      </w:r>
      <w:r>
        <w:rPr>
          <w:rFonts w:ascii="仿宋" w:eastAsia="仿宋" w:hAnsi="仿宋" w:cs="Times New Roman" w:hint="eastAsia"/>
          <w:szCs w:val="21"/>
        </w:rPr>
        <w:t xml:space="preserve"> 202</w:t>
      </w:r>
      <w:r>
        <w:rPr>
          <w:rFonts w:ascii="仿宋" w:eastAsia="仿宋" w:hAnsi="仿宋" w:cs="Times New Roman" w:hint="eastAsia"/>
          <w:szCs w:val="21"/>
        </w:rPr>
        <w:t xml:space="preserve">5 </w:t>
      </w:r>
      <w:r>
        <w:rPr>
          <w:rFonts w:ascii="仿宋" w:eastAsia="仿宋" w:hAnsi="仿宋" w:cs="Times New Roman" w:hint="eastAsia"/>
          <w:szCs w:val="21"/>
        </w:rPr>
        <w:t>年</w:t>
      </w:r>
      <w:r>
        <w:rPr>
          <w:rFonts w:ascii="仿宋" w:eastAsia="仿宋" w:hAnsi="仿宋" w:cs="Times New Roman" w:hint="eastAsia"/>
          <w:szCs w:val="21"/>
        </w:rPr>
        <w:t xml:space="preserve"> 12 </w:t>
      </w:r>
      <w:r>
        <w:rPr>
          <w:rFonts w:ascii="仿宋" w:eastAsia="仿宋" w:hAnsi="仿宋" w:cs="Times New Roman" w:hint="eastAsia"/>
          <w:szCs w:val="21"/>
        </w:rPr>
        <w:t>月才完成整体竣工验收并办理</w:t>
      </w:r>
      <w:proofErr w:type="gramStart"/>
      <w:r>
        <w:rPr>
          <w:rFonts w:ascii="仿宋" w:eastAsia="仿宋" w:hAnsi="仿宋" w:cs="Times New Roman" w:hint="eastAsia"/>
          <w:szCs w:val="21"/>
        </w:rPr>
        <w:t>账面转固手续</w:t>
      </w:r>
      <w:proofErr w:type="gramEnd"/>
      <w:r>
        <w:rPr>
          <w:rFonts w:ascii="仿宋" w:eastAsia="仿宋" w:hAnsi="仿宋" w:cs="Times New Roman" w:hint="eastAsia"/>
          <w:szCs w:val="21"/>
        </w:rPr>
        <w:t>，但在建工程建设期内，企业已依托该试车基地实体设施，面向外部第三方客户、合并范围内关联主体承接发动机点火试车试验业务，且就前述试车服务签订正式商业合同、实际提供完整试车试验作业，并按照合同约定条款足额收取对应服务对价。由此可得出满足上述会计准则规定的达到预定可使用状态，应当对其进行</w:t>
      </w:r>
      <w:proofErr w:type="gramStart"/>
      <w:r>
        <w:rPr>
          <w:rFonts w:ascii="仿宋" w:eastAsia="仿宋" w:hAnsi="仿宋" w:cs="Times New Roman" w:hint="eastAsia"/>
          <w:szCs w:val="21"/>
        </w:rPr>
        <w:t>转固处理</w:t>
      </w:r>
      <w:proofErr w:type="gramEnd"/>
      <w:r>
        <w:rPr>
          <w:rFonts w:ascii="仿宋" w:eastAsia="仿宋" w:hAnsi="仿宋" w:cs="Times New Roman" w:hint="eastAsia"/>
          <w:szCs w:val="21"/>
        </w:rPr>
        <w:t>并计提折旧并确认相关成本。</w:t>
      </w:r>
    </w:p>
    <w:p w14:paraId="08C69D33" w14:textId="7968513B" w:rsidR="00060F88" w:rsidRPr="00DD2EF1" w:rsidRDefault="00060F88" w:rsidP="00060F88">
      <w:pPr>
        <w:spacing w:line="360" w:lineRule="auto"/>
        <w:ind w:firstLineChars="200" w:firstLine="420"/>
        <w:rPr>
          <w:rFonts w:ascii="仿宋" w:eastAsia="仿宋" w:hAnsi="仿宋" w:cs="Times New Roman" w:hint="eastAsia"/>
          <w:szCs w:val="21"/>
          <w:highlight w:val="yellow"/>
        </w:rPr>
      </w:pPr>
      <w:r w:rsidRPr="00DD2EF1">
        <w:rPr>
          <w:rFonts w:ascii="仿宋" w:eastAsia="仿宋" w:hAnsi="仿宋" w:cs="Times New Roman" w:hint="eastAsia"/>
          <w:szCs w:val="21"/>
          <w:highlight w:val="yellow"/>
        </w:rPr>
        <w:t>（1）</w:t>
      </w:r>
      <w:r w:rsidRPr="00DD2EF1">
        <w:rPr>
          <w:rFonts w:ascii="仿宋" w:eastAsia="仿宋" w:hAnsi="仿宋" w:cs="Times New Roman" w:hint="eastAsia"/>
          <w:szCs w:val="21"/>
          <w:highlight w:val="yellow"/>
        </w:rPr>
        <w:t>是否必须经4次试车，才能</w:t>
      </w:r>
      <w:r w:rsidRPr="00DD2EF1">
        <w:rPr>
          <w:rFonts w:ascii="仿宋" w:eastAsia="仿宋" w:hAnsi="仿宋" w:hint="eastAsia"/>
          <w:szCs w:val="21"/>
          <w:highlight w:val="yellow"/>
        </w:rPr>
        <w:t>验证基地核心系统的运行可行性？如果是，应在4次试车后</w:t>
      </w:r>
      <w:r w:rsidR="00DD2EF1">
        <w:rPr>
          <w:rFonts w:ascii="仿宋" w:eastAsia="仿宋" w:hAnsi="仿宋" w:hint="eastAsia"/>
          <w:szCs w:val="21"/>
          <w:highlight w:val="yellow"/>
        </w:rPr>
        <w:t>验收</w:t>
      </w:r>
      <w:r w:rsidRPr="00DD2EF1">
        <w:rPr>
          <w:rFonts w:ascii="仿宋" w:eastAsia="仿宋" w:hAnsi="仿宋" w:hint="eastAsia"/>
          <w:szCs w:val="21"/>
          <w:highlight w:val="yellow"/>
        </w:rPr>
        <w:t>转固</w:t>
      </w:r>
      <w:r w:rsidRPr="00DD2EF1">
        <w:rPr>
          <w:rFonts w:ascii="仿宋" w:eastAsia="仿宋" w:hAnsi="仿宋" w:hint="eastAsia"/>
          <w:szCs w:val="21"/>
          <w:highlight w:val="yellow"/>
        </w:rPr>
        <w:t>。</w:t>
      </w:r>
    </w:p>
    <w:p w14:paraId="0EC7D817" w14:textId="0DF150A6" w:rsidR="00060F88" w:rsidRDefault="00060F88">
      <w:pPr>
        <w:spacing w:line="360" w:lineRule="auto"/>
        <w:ind w:firstLineChars="200" w:firstLine="420"/>
        <w:rPr>
          <w:rFonts w:ascii="仿宋" w:eastAsia="仿宋" w:hAnsi="仿宋" w:cs="Times New Roman"/>
          <w:szCs w:val="21"/>
          <w:highlight w:val="yellow"/>
        </w:rPr>
      </w:pPr>
      <w:r w:rsidRPr="00DD2EF1">
        <w:rPr>
          <w:rFonts w:ascii="仿宋" w:eastAsia="仿宋" w:hAnsi="仿宋" w:cs="Times New Roman" w:hint="eastAsia"/>
          <w:szCs w:val="21"/>
          <w:highlight w:val="yellow"/>
        </w:rPr>
        <w:t>（2）</w:t>
      </w:r>
      <w:r w:rsidR="00DD2EF1">
        <w:rPr>
          <w:rFonts w:ascii="仿宋" w:eastAsia="仿宋" w:hAnsi="仿宋" w:cs="Times New Roman" w:hint="eastAsia"/>
          <w:szCs w:val="21"/>
          <w:highlight w:val="yellow"/>
        </w:rPr>
        <w:t>试车发生的成本，要区分是否属于“</w:t>
      </w:r>
      <w:r w:rsidR="00DD2EF1" w:rsidRPr="00DD2EF1">
        <w:rPr>
          <w:rFonts w:ascii="仿宋" w:eastAsia="仿宋" w:hAnsi="仿宋" w:cs="Times New Roman" w:hint="eastAsia"/>
          <w:szCs w:val="21"/>
          <w:highlight w:val="yellow"/>
        </w:rPr>
        <w:t>使</w:t>
      </w:r>
      <w:r w:rsidR="00DD2EF1" w:rsidRPr="00DD2EF1">
        <w:rPr>
          <w:rFonts w:ascii="仿宋" w:eastAsia="仿宋" w:hAnsi="仿宋" w:cs="Times New Roman"/>
          <w:szCs w:val="21"/>
          <w:highlight w:val="yellow"/>
        </w:rPr>
        <w:t>固定资产达到预定可使用状态前的必要支出</w:t>
      </w:r>
      <w:r w:rsidR="00195B18">
        <w:rPr>
          <w:rFonts w:ascii="仿宋" w:eastAsia="仿宋" w:hAnsi="仿宋" w:cs="Times New Roman" w:hint="eastAsia"/>
          <w:szCs w:val="21"/>
          <w:highlight w:val="yellow"/>
        </w:rPr>
        <w:t>”，如是，计入在建工程成本。例：一部生产包子的机器试机，投入面粉、馅料会产出存货、存货可销售形成收入。投入的面粉馅料、属于</w:t>
      </w:r>
      <w:r w:rsidR="00195B18" w:rsidRPr="00195B18">
        <w:rPr>
          <w:rFonts w:ascii="仿宋" w:eastAsia="仿宋" w:hAnsi="仿宋" w:cs="Times New Roman"/>
          <w:szCs w:val="21"/>
          <w:highlight w:val="yellow"/>
        </w:rPr>
        <w:t>正常设计生产能力下的必要合理支出</w:t>
      </w:r>
      <w:r w:rsidR="00195B18">
        <w:rPr>
          <w:rFonts w:ascii="仿宋" w:eastAsia="仿宋" w:hAnsi="仿宋" w:cs="Times New Roman" w:hint="eastAsia"/>
          <w:szCs w:val="21"/>
          <w:highlight w:val="yellow"/>
        </w:rPr>
        <w:t>的部分计入销售成本，超出部分计入在建工程成本（比如试车生产出</w:t>
      </w:r>
      <w:r w:rsidR="00195B18">
        <w:rPr>
          <w:rFonts w:ascii="仿宋" w:eastAsia="仿宋" w:hAnsi="仿宋" w:cs="Times New Roman"/>
          <w:szCs w:val="21"/>
          <w:highlight w:val="yellow"/>
        </w:rPr>
        <w:t>20</w:t>
      </w:r>
      <w:r w:rsidR="00195B18">
        <w:rPr>
          <w:rFonts w:ascii="仿宋" w:eastAsia="仿宋" w:hAnsi="仿宋" w:cs="Times New Roman" w:hint="eastAsia"/>
          <w:szCs w:val="21"/>
          <w:highlight w:val="yellow"/>
        </w:rPr>
        <w:t>个包子、正常设计下会消耗1斤面粉，实际消耗了3斤面料）</w:t>
      </w:r>
      <w:r w:rsidRPr="00DD2EF1">
        <w:rPr>
          <w:rFonts w:ascii="仿宋" w:eastAsia="仿宋" w:hAnsi="仿宋" w:cs="Times New Roman" w:hint="eastAsia"/>
          <w:szCs w:val="21"/>
          <w:highlight w:val="yellow"/>
        </w:rPr>
        <w:t>。</w:t>
      </w:r>
    </w:p>
    <w:p w14:paraId="7DAFA6A0" w14:textId="67548CA3" w:rsidR="0071722E" w:rsidRDefault="0071722E">
      <w:pPr>
        <w:spacing w:line="360" w:lineRule="auto"/>
        <w:ind w:firstLineChars="200" w:firstLine="420"/>
        <w:rPr>
          <w:rFonts w:ascii="仿宋" w:eastAsia="仿宋" w:hAnsi="仿宋" w:cs="Times New Roman" w:hint="eastAsia"/>
          <w:szCs w:val="21"/>
          <w:highlight w:val="yellow"/>
        </w:rPr>
      </w:pPr>
      <w:r>
        <w:rPr>
          <w:rFonts w:ascii="仿宋" w:eastAsia="仿宋" w:hAnsi="仿宋" w:cs="Times New Roman" w:hint="eastAsia"/>
          <w:szCs w:val="21"/>
          <w:highlight w:val="yellow"/>
        </w:rPr>
        <w:t>依据《企业会计准则解释第1</w:t>
      </w:r>
      <w:r>
        <w:rPr>
          <w:rFonts w:ascii="仿宋" w:eastAsia="仿宋" w:hAnsi="仿宋" w:cs="Times New Roman"/>
          <w:szCs w:val="21"/>
          <w:highlight w:val="yellow"/>
        </w:rPr>
        <w:t>5</w:t>
      </w:r>
      <w:r>
        <w:rPr>
          <w:rFonts w:ascii="仿宋" w:eastAsia="仿宋" w:hAnsi="仿宋" w:cs="Times New Roman" w:hint="eastAsia"/>
          <w:szCs w:val="21"/>
          <w:highlight w:val="yellow"/>
        </w:rPr>
        <w:t>号》、《</w:t>
      </w:r>
      <w:r w:rsidRPr="0071722E">
        <w:rPr>
          <w:rFonts w:ascii="仿宋" w:eastAsia="仿宋" w:hAnsi="仿宋" w:cs="Times New Roman"/>
          <w:szCs w:val="21"/>
          <w:highlight w:val="yellow"/>
        </w:rPr>
        <w:t>监管规则适用指引——会计类第3号</w:t>
      </w:r>
      <w:r>
        <w:rPr>
          <w:rFonts w:ascii="仿宋" w:eastAsia="仿宋" w:hAnsi="仿宋" w:cs="Times New Roman" w:hint="eastAsia"/>
          <w:szCs w:val="21"/>
          <w:highlight w:val="yellow"/>
        </w:rPr>
        <w:t>》案例3</w:t>
      </w:r>
      <w:r>
        <w:rPr>
          <w:rFonts w:ascii="仿宋" w:eastAsia="仿宋" w:hAnsi="仿宋" w:cs="Times New Roman"/>
          <w:szCs w:val="21"/>
          <w:highlight w:val="yellow"/>
        </w:rPr>
        <w:t>-11</w:t>
      </w:r>
      <w:r>
        <w:rPr>
          <w:rFonts w:ascii="仿宋" w:eastAsia="仿宋" w:hAnsi="仿宋" w:cs="Times New Roman" w:hint="eastAsia"/>
          <w:szCs w:val="21"/>
          <w:highlight w:val="yellow"/>
        </w:rPr>
        <w:t>。</w:t>
      </w:r>
      <w:bookmarkStart w:id="4" w:name="_GoBack"/>
      <w:bookmarkEnd w:id="4"/>
    </w:p>
    <w:p w14:paraId="4E6CA39E" w14:textId="77777777" w:rsidR="00622BDF" w:rsidRDefault="00404BEE" w:rsidP="00404BEE">
      <w:pPr>
        <w:spacing w:line="360" w:lineRule="auto"/>
        <w:ind w:firstLineChars="200" w:firstLine="420"/>
        <w:rPr>
          <w:rFonts w:ascii="仿宋" w:eastAsia="仿宋" w:hAnsi="仿宋" w:cs="Times New Roman"/>
          <w:szCs w:val="21"/>
          <w:highlight w:val="yellow"/>
        </w:rPr>
      </w:pPr>
      <w:r>
        <w:rPr>
          <w:rFonts w:ascii="仿宋" w:eastAsia="仿宋" w:hAnsi="仿宋" w:cs="Times New Roman" w:hint="eastAsia"/>
          <w:szCs w:val="21"/>
          <w:highlight w:val="yellow"/>
        </w:rPr>
        <w:t>（3）根据《企业会计准则应用指南汇编2</w:t>
      </w:r>
      <w:r>
        <w:rPr>
          <w:rFonts w:ascii="仿宋" w:eastAsia="仿宋" w:hAnsi="仿宋" w:cs="Times New Roman"/>
          <w:szCs w:val="21"/>
          <w:highlight w:val="yellow"/>
        </w:rPr>
        <w:t>024</w:t>
      </w:r>
      <w:r>
        <w:rPr>
          <w:rFonts w:ascii="仿宋" w:eastAsia="仿宋" w:hAnsi="仿宋" w:cs="Times New Roman" w:hint="eastAsia"/>
          <w:szCs w:val="21"/>
          <w:highlight w:val="yellow"/>
        </w:rPr>
        <w:t>》第1</w:t>
      </w:r>
      <w:r>
        <w:rPr>
          <w:rFonts w:ascii="仿宋" w:eastAsia="仿宋" w:hAnsi="仿宋" w:cs="Times New Roman"/>
          <w:szCs w:val="21"/>
          <w:highlight w:val="yellow"/>
        </w:rPr>
        <w:t>26</w:t>
      </w:r>
      <w:r>
        <w:rPr>
          <w:rFonts w:ascii="仿宋" w:eastAsia="仿宋" w:hAnsi="仿宋" w:cs="Times New Roman" w:hint="eastAsia"/>
          <w:szCs w:val="21"/>
          <w:highlight w:val="yellow"/>
        </w:rPr>
        <w:t>页“</w:t>
      </w:r>
      <w:r w:rsidRPr="00404BEE">
        <w:rPr>
          <w:rFonts w:ascii="仿宋" w:eastAsia="仿宋" w:hAnsi="仿宋" w:cs="Times New Roman" w:hint="eastAsia"/>
          <w:szCs w:val="21"/>
          <w:highlight w:val="yellow"/>
        </w:rPr>
        <w:t>固定资产</w:t>
      </w:r>
      <w:r w:rsidRPr="00404BEE">
        <w:rPr>
          <w:rFonts w:ascii="仿宋" w:eastAsia="仿宋" w:hAnsi="仿宋" w:cs="Times New Roman" w:hint="eastAsia"/>
          <w:color w:val="FF0000"/>
          <w:szCs w:val="21"/>
          <w:highlight w:val="yellow"/>
        </w:rPr>
        <w:t>应自达到预定可使用状态时</w:t>
      </w:r>
      <w:r w:rsidRPr="00404BEE">
        <w:rPr>
          <w:rFonts w:ascii="仿宋" w:eastAsia="仿宋" w:hAnsi="仿宋" w:cs="Times New Roman" w:hint="eastAsia"/>
          <w:szCs w:val="21"/>
          <w:highlight w:val="yellow"/>
        </w:rPr>
        <w:t>开始计提折旧，</w:t>
      </w:r>
      <w:r>
        <w:rPr>
          <w:rFonts w:ascii="仿宋" w:eastAsia="仿宋" w:hAnsi="仿宋" w:cs="Times New Roman" w:hint="eastAsia"/>
          <w:szCs w:val="21"/>
          <w:highlight w:val="yellow"/>
        </w:rPr>
        <w:t>……</w:t>
      </w:r>
      <w:r w:rsidRPr="00404BEE">
        <w:rPr>
          <w:rFonts w:ascii="仿宋" w:eastAsia="仿宋" w:hAnsi="仿宋" w:cs="Times New Roman" w:hint="eastAsia"/>
          <w:szCs w:val="21"/>
          <w:highlight w:val="yellow"/>
        </w:rPr>
        <w:t>当月增加的固定资产，当月不计提折旧，</w:t>
      </w:r>
      <w:r w:rsidRPr="00404BEE">
        <w:rPr>
          <w:rFonts w:ascii="仿宋" w:eastAsia="仿宋" w:hAnsi="仿宋" w:cs="Times New Roman"/>
          <w:szCs w:val="21"/>
          <w:highlight w:val="yellow"/>
        </w:rPr>
        <w:t xml:space="preserve"> </w:t>
      </w:r>
      <w:r w:rsidRPr="00404BEE">
        <w:rPr>
          <w:rFonts w:ascii="仿宋" w:eastAsia="仿宋" w:hAnsi="仿宋" w:cs="Times New Roman" w:hint="eastAsia"/>
          <w:szCs w:val="21"/>
          <w:highlight w:val="yellow"/>
        </w:rPr>
        <w:t>从下月起计提折旧；当月减少的固定资产，</w:t>
      </w:r>
      <w:r w:rsidRPr="00404BEE">
        <w:rPr>
          <w:rFonts w:ascii="仿宋" w:eastAsia="仿宋" w:hAnsi="仿宋" w:cs="Times New Roman"/>
          <w:szCs w:val="21"/>
          <w:highlight w:val="yellow"/>
        </w:rPr>
        <w:t xml:space="preserve"> </w:t>
      </w:r>
      <w:r w:rsidRPr="00404BEE">
        <w:rPr>
          <w:rFonts w:ascii="仿宋" w:eastAsia="仿宋" w:hAnsi="仿宋" w:cs="Times New Roman" w:hint="eastAsia"/>
          <w:szCs w:val="21"/>
          <w:highlight w:val="yellow"/>
        </w:rPr>
        <w:t>当月仍计提折旧</w:t>
      </w:r>
      <w:r>
        <w:rPr>
          <w:rFonts w:ascii="仿宋" w:eastAsia="仿宋" w:hAnsi="仿宋" w:cs="Times New Roman" w:hint="eastAsia"/>
          <w:szCs w:val="21"/>
          <w:highlight w:val="yellow"/>
        </w:rPr>
        <w:t>……”</w:t>
      </w:r>
      <w:r w:rsidR="00622BDF">
        <w:rPr>
          <w:rFonts w:ascii="仿宋" w:eastAsia="仿宋" w:hAnsi="仿宋" w:cs="Times New Roman" w:hint="eastAsia"/>
          <w:szCs w:val="21"/>
          <w:highlight w:val="yellow"/>
        </w:rPr>
        <w:t>。</w:t>
      </w:r>
    </w:p>
    <w:p w14:paraId="145D803B" w14:textId="1E3005EC" w:rsidR="00404BEE" w:rsidRPr="00404BEE" w:rsidRDefault="00404BEE" w:rsidP="00404BEE">
      <w:pPr>
        <w:spacing w:line="360" w:lineRule="auto"/>
        <w:ind w:firstLineChars="200" w:firstLine="420"/>
        <w:rPr>
          <w:rFonts w:ascii="仿宋" w:eastAsia="仿宋" w:hAnsi="仿宋" w:cs="Times New Roman" w:hint="eastAsia"/>
          <w:szCs w:val="21"/>
          <w:highlight w:val="yellow"/>
        </w:rPr>
      </w:pPr>
      <w:r>
        <w:rPr>
          <w:rFonts w:ascii="仿宋" w:eastAsia="仿宋" w:hAnsi="仿宋" w:cs="Times New Roman" w:hint="eastAsia"/>
          <w:szCs w:val="21"/>
          <w:highlight w:val="yellow"/>
        </w:rPr>
        <w:t>公司应</w:t>
      </w:r>
      <w:proofErr w:type="gramStart"/>
      <w:r>
        <w:rPr>
          <w:rFonts w:ascii="仿宋" w:eastAsia="仿宋" w:hAnsi="仿宋" w:cs="Times New Roman" w:hint="eastAsia"/>
          <w:szCs w:val="21"/>
          <w:highlight w:val="yellow"/>
        </w:rPr>
        <w:t>自达到</w:t>
      </w:r>
      <w:proofErr w:type="gramEnd"/>
      <w:r>
        <w:rPr>
          <w:rFonts w:ascii="仿宋" w:eastAsia="仿宋" w:hAnsi="仿宋" w:cs="Times New Roman" w:hint="eastAsia"/>
          <w:szCs w:val="21"/>
          <w:highlight w:val="yellow"/>
        </w:rPr>
        <w:t>预定可使用状态时计</w:t>
      </w:r>
      <w:r w:rsidR="00622BDF">
        <w:rPr>
          <w:rFonts w:ascii="仿宋" w:eastAsia="仿宋" w:hAnsi="仿宋" w:cs="Times New Roman" w:hint="eastAsia"/>
          <w:szCs w:val="21"/>
          <w:highlight w:val="yellow"/>
        </w:rPr>
        <w:t>提折旧，而不是试车时。试车已使用次数，可在达到预定可使用状态时自总使用寿命中扣除（即，按5</w:t>
      </w:r>
      <w:r w:rsidR="00622BDF">
        <w:rPr>
          <w:rFonts w:ascii="仿宋" w:eastAsia="仿宋" w:hAnsi="仿宋" w:cs="Times New Roman"/>
          <w:szCs w:val="21"/>
          <w:highlight w:val="yellow"/>
        </w:rPr>
        <w:t>6</w:t>
      </w:r>
      <w:r w:rsidR="00622BDF">
        <w:rPr>
          <w:rFonts w:ascii="仿宋" w:eastAsia="仿宋" w:hAnsi="仿宋" w:cs="Times New Roman" w:hint="eastAsia"/>
          <w:szCs w:val="21"/>
          <w:highlight w:val="yellow"/>
        </w:rPr>
        <w:t>次计算折旧）。</w:t>
      </w:r>
    </w:p>
    <w:p w14:paraId="49F1EB7B" w14:textId="77777777" w:rsidR="006A550D" w:rsidRDefault="0071722E">
      <w:pPr>
        <w:pStyle w:val="3"/>
        <w:spacing w:before="0" w:after="0" w:line="360" w:lineRule="auto"/>
        <w:ind w:firstLineChars="200" w:firstLine="422"/>
        <w:jc w:val="left"/>
        <w:rPr>
          <w:rFonts w:ascii="仿宋" w:eastAsia="仿宋" w:hAnsi="仿宋"/>
          <w:b/>
          <w:color w:val="auto"/>
          <w:sz w:val="21"/>
          <w:szCs w:val="21"/>
        </w:rPr>
      </w:pPr>
      <w:bookmarkStart w:id="5" w:name="_Toc217984537"/>
      <w:r>
        <w:rPr>
          <w:rFonts w:ascii="仿宋" w:eastAsia="仿宋" w:hAnsi="仿宋" w:hint="eastAsia"/>
          <w:b/>
          <w:color w:val="auto"/>
          <w:sz w:val="21"/>
          <w:szCs w:val="21"/>
        </w:rPr>
        <w:t>四、案例解析</w:t>
      </w:r>
      <w:bookmarkEnd w:id="5"/>
      <w:r>
        <w:rPr>
          <w:rFonts w:ascii="仿宋" w:eastAsia="仿宋" w:hAnsi="仿宋" w:hint="eastAsia"/>
          <w:b/>
          <w:color w:val="auto"/>
          <w:sz w:val="21"/>
          <w:szCs w:val="21"/>
        </w:rPr>
        <w:t>（研讨后由标准部人员填写）</w:t>
      </w:r>
    </w:p>
    <w:p w14:paraId="23B9997D" w14:textId="77777777" w:rsidR="00060F88" w:rsidRDefault="00060F88">
      <w:pPr>
        <w:spacing w:line="360" w:lineRule="auto"/>
        <w:ind w:firstLineChars="200" w:firstLine="420"/>
        <w:rPr>
          <w:rFonts w:ascii="仿宋" w:eastAsia="仿宋" w:hAnsi="仿宋" w:cs="Times New Roman"/>
          <w:szCs w:val="21"/>
        </w:rPr>
      </w:pPr>
    </w:p>
    <w:sectPr w:rsidR="00060F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4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A03"/>
    <w:rsid w:val="00060F88"/>
    <w:rsid w:val="00072040"/>
    <w:rsid w:val="000775A6"/>
    <w:rsid w:val="000C67AD"/>
    <w:rsid w:val="000F18E6"/>
    <w:rsid w:val="0014290C"/>
    <w:rsid w:val="00195B18"/>
    <w:rsid w:val="002F1596"/>
    <w:rsid w:val="00311826"/>
    <w:rsid w:val="003565EE"/>
    <w:rsid w:val="00404BEE"/>
    <w:rsid w:val="00453DCB"/>
    <w:rsid w:val="00491129"/>
    <w:rsid w:val="004A3462"/>
    <w:rsid w:val="004B5D89"/>
    <w:rsid w:val="004C03B9"/>
    <w:rsid w:val="004F433E"/>
    <w:rsid w:val="005073A0"/>
    <w:rsid w:val="00532603"/>
    <w:rsid w:val="005A1C8A"/>
    <w:rsid w:val="005E6154"/>
    <w:rsid w:val="006227FC"/>
    <w:rsid w:val="00622BDF"/>
    <w:rsid w:val="006812C6"/>
    <w:rsid w:val="006A550D"/>
    <w:rsid w:val="006C3532"/>
    <w:rsid w:val="0071722E"/>
    <w:rsid w:val="00757735"/>
    <w:rsid w:val="007B613A"/>
    <w:rsid w:val="00814B69"/>
    <w:rsid w:val="008F5A4B"/>
    <w:rsid w:val="00956945"/>
    <w:rsid w:val="009D2305"/>
    <w:rsid w:val="00A83765"/>
    <w:rsid w:val="00B63A09"/>
    <w:rsid w:val="00B80C28"/>
    <w:rsid w:val="00C7309C"/>
    <w:rsid w:val="00C8483C"/>
    <w:rsid w:val="00C8775F"/>
    <w:rsid w:val="00C97F04"/>
    <w:rsid w:val="00D360D4"/>
    <w:rsid w:val="00D53A03"/>
    <w:rsid w:val="00D70E2C"/>
    <w:rsid w:val="00DD2EF1"/>
    <w:rsid w:val="00DE4A4A"/>
    <w:rsid w:val="00E4460E"/>
    <w:rsid w:val="00F31A79"/>
    <w:rsid w:val="00FA1D51"/>
    <w:rsid w:val="00FD00F7"/>
    <w:rsid w:val="00FD644D"/>
    <w:rsid w:val="013F3330"/>
    <w:rsid w:val="01BD0DCF"/>
    <w:rsid w:val="037B12E7"/>
    <w:rsid w:val="03CA0201"/>
    <w:rsid w:val="058704B2"/>
    <w:rsid w:val="06817BA6"/>
    <w:rsid w:val="09250AB1"/>
    <w:rsid w:val="136840EA"/>
    <w:rsid w:val="16BF171B"/>
    <w:rsid w:val="182A7068"/>
    <w:rsid w:val="19887F74"/>
    <w:rsid w:val="1F9B42EE"/>
    <w:rsid w:val="21EE3977"/>
    <w:rsid w:val="28BA7F95"/>
    <w:rsid w:val="2E041312"/>
    <w:rsid w:val="368C4C6C"/>
    <w:rsid w:val="3B862B5A"/>
    <w:rsid w:val="43153978"/>
    <w:rsid w:val="47855EE6"/>
    <w:rsid w:val="4A6E581C"/>
    <w:rsid w:val="4D1473C4"/>
    <w:rsid w:val="53D44232"/>
    <w:rsid w:val="5955589C"/>
    <w:rsid w:val="5A3A490E"/>
    <w:rsid w:val="5DB55350"/>
    <w:rsid w:val="60425D72"/>
    <w:rsid w:val="61357BDD"/>
    <w:rsid w:val="62E97440"/>
    <w:rsid w:val="642B56B9"/>
    <w:rsid w:val="65E87E33"/>
    <w:rsid w:val="6A244298"/>
    <w:rsid w:val="6A42336B"/>
    <w:rsid w:val="70E47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EA176"/>
  <w15:docId w15:val="{F26B31C5-A7D5-46F6-9EA8-8794E16D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semiHidden/>
    <w:unhideWhenUsed/>
    <w:pPr>
      <w:spacing w:beforeAutospacing="1" w:afterAutospacing="1"/>
      <w:jc w:val="left"/>
    </w:pPr>
    <w:rPr>
      <w:rFonts w:cs="Times New Roman"/>
      <w:kern w:val="0"/>
      <w:sz w:val="24"/>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c">
    <w:name w:val="Strong"/>
    <w:basedOn w:val="a0"/>
    <w:uiPriority w:val="22"/>
    <w:qFormat/>
    <w:rPr>
      <w:b/>
      <w:bCs/>
    </w:rPr>
  </w:style>
  <w:style w:type="character" w:styleId="ad">
    <w:name w:val="Hyperlink"/>
    <w:basedOn w:val="a0"/>
    <w:uiPriority w:val="99"/>
    <w:semiHidden/>
    <w:unhideWhenUsed/>
    <w:rPr>
      <w:color w:val="0000FF"/>
      <w:u w:val="single"/>
    </w:rPr>
  </w:style>
  <w:style w:type="character" w:customStyle="1" w:styleId="10">
    <w:name w:val="标题 1 字符"/>
    <w:basedOn w:val="a0"/>
    <w:link w:val="1"/>
    <w:uiPriority w:val="9"/>
    <w:qFormat/>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Pr>
      <w:rFonts w:cstheme="majorBidi"/>
      <w:color w:val="365F91" w:themeColor="accent1" w:themeShade="BF"/>
      <w:sz w:val="28"/>
      <w:szCs w:val="28"/>
    </w:rPr>
  </w:style>
  <w:style w:type="character" w:customStyle="1" w:styleId="50">
    <w:name w:val="标题 5 字符"/>
    <w:basedOn w:val="a0"/>
    <w:link w:val="5"/>
    <w:uiPriority w:val="9"/>
    <w:semiHidden/>
    <w:qFormat/>
    <w:rPr>
      <w:rFonts w:cstheme="majorBidi"/>
      <w:color w:val="365F91" w:themeColor="accent1" w:themeShade="BF"/>
      <w:sz w:val="24"/>
      <w:szCs w:val="24"/>
    </w:rPr>
  </w:style>
  <w:style w:type="character" w:customStyle="1" w:styleId="60">
    <w:name w:val="标题 6 字符"/>
    <w:basedOn w:val="a0"/>
    <w:link w:val="6"/>
    <w:uiPriority w:val="9"/>
    <w:semiHidden/>
    <w:qFormat/>
    <w:rPr>
      <w:rFonts w:cstheme="majorBidi"/>
      <w:b/>
      <w:bCs/>
      <w:color w:val="365F9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b">
    <w:name w:val="标题 字符"/>
    <w:basedOn w:val="a0"/>
    <w:link w:val="aa"/>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e">
    <w:name w:val="Quote"/>
    <w:basedOn w:val="a"/>
    <w:next w:val="a"/>
    <w:link w:val="af"/>
    <w:uiPriority w:val="29"/>
    <w:qFormat/>
    <w:pPr>
      <w:spacing w:before="160" w:after="160"/>
      <w:jc w:val="center"/>
    </w:pPr>
    <w:rPr>
      <w:i/>
      <w:iCs/>
      <w:color w:val="404040" w:themeColor="text1" w:themeTint="BF"/>
    </w:rPr>
  </w:style>
  <w:style w:type="character" w:customStyle="1" w:styleId="af">
    <w:name w:val="引用 字符"/>
    <w:basedOn w:val="a0"/>
    <w:link w:val="ae"/>
    <w:uiPriority w:val="29"/>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365F91" w:themeColor="accent1" w:themeShade="BF"/>
    </w:rPr>
  </w:style>
  <w:style w:type="paragraph" w:styleId="af1">
    <w:name w:val="Intense Quote"/>
    <w:basedOn w:val="a"/>
    <w:next w:val="a"/>
    <w:link w:val="af2"/>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f2">
    <w:name w:val="明显引用 字符"/>
    <w:basedOn w:val="a0"/>
    <w:link w:val="af1"/>
    <w:uiPriority w:val="30"/>
    <w:rPr>
      <w:i/>
      <w:iCs/>
      <w:color w:val="365F91" w:themeColor="accent1" w:themeShade="BF"/>
    </w:rPr>
  </w:style>
  <w:style w:type="character" w:customStyle="1" w:styleId="12">
    <w:name w:val="明显参考1"/>
    <w:basedOn w:val="a0"/>
    <w:uiPriority w:val="32"/>
    <w:qFormat/>
    <w:rPr>
      <w:b/>
      <w:bCs/>
      <w:smallCaps/>
      <w:color w:val="365F91" w:themeColor="accent1" w:themeShade="BF"/>
      <w:spacing w:val="5"/>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aike.esnai.cn/view.aspx?w=%be%ad%b4%ef" TargetMode="External"/><Relationship Id="rId5" Type="http://schemas.openxmlformats.org/officeDocument/2006/relationships/hyperlink" Target="https://baike.esnai.cn/view.aspx?w=%ba%cf%cd%ac" TargetMode="External"/><Relationship Id="rId4" Type="http://schemas.openxmlformats.org/officeDocument/2006/relationships/hyperlink" Target="https://baike.esnai.cn/view.aspx?w=%ca%b5%cc%e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Pages>
  <Words>328</Words>
  <Characters>1872</Characters>
  <Application>Microsoft Office Word</Application>
  <DocSecurity>0</DocSecurity>
  <Lines>15</Lines>
  <Paragraphs>4</Paragraphs>
  <ScaleCrop>false</ScaleCrop>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孙元元(北京-业务二部)</dc:creator>
  <cp:lastModifiedBy>姜艳丽(北京-审计风险管理部)</cp:lastModifiedBy>
  <cp:revision>34</cp:revision>
  <dcterms:created xsi:type="dcterms:W3CDTF">2025-11-11T07:27:00Z</dcterms:created>
  <dcterms:modified xsi:type="dcterms:W3CDTF">2026-07-10T08:30:00Z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eyJoZGlkIjoiZjJkZjY2N2Q3YmMxZmMyMDFhNzJlNjIyZGE0MjgwMjciLCJ1c2VySWQiOiI2OTYyNTY2OTUifQ==</vt:lpwstr>
  </property>
  <property fmtid="{D5CDD505-2E9C-101B-9397-08002B2CF9AE}" pid="3" name="KSOProductBuildVer">
    <vt:lpwstr>2052-12.1.0.26895</vt:lpwstr>
  </property>
  <property fmtid="{D5CDD505-2E9C-101B-9397-08002B2CF9AE}" pid="4" name="ICV">
    <vt:lpwstr>932E756515184113B6AE0A47F8F8BFB3_12</vt:lpwstr>
  </property>
</Properties>
</file>