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d'analyse — Évolution</w:t>
      </w:r>
    </w:p>
    <w:p/>
    <w:p>
      <w:r>
        <w:br w:type="page"/>
      </w:r>
    </w:p>
    <w:p>
      <w:pPr>
        <w:pStyle w:val="Heading1"/>
      </w:pPr>
      <w:r>
        <w:rPr>
          <w:color w:val="1F3B73"/>
        </w:rPr>
        <w:t>1. Indicateurs clés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Jugement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Effectif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Pourcentage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Amélioration partielle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Dégradation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Amélioration nette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Stagnation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bo_icl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F3B73"/>
        </w:rPr>
        <w:t>2. Comparaison T1 vs T2</w:t>
      </w:r>
    </w:p>
    <w:p>
      <w:r>
        <w:drawing>
          <wp:inline xmlns:a="http://schemas.openxmlformats.org/drawingml/2006/main" xmlns:pic="http://schemas.openxmlformats.org/drawingml/2006/picture">
            <wp:extent cx="5760000" cy="3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qk0mp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F3B73"/>
        </w:rPr>
        <w:t>3. Fréquences des positions à T1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Effectif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Pourcentage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93.1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86.2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86.2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82.8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82.8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79.3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75.9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58.6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37.9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13.8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000" cy="3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_th8k1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F3B73"/>
        </w:rPr>
        <w:t>4. Statuts par 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Résolus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Persistants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Nouveaux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000" cy="3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bos16u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