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rPr>
          <w:rFonts w:hint="eastAsia"/>
        </w:rPr>
      </w:pPr>
    </w:p>
    <w:p>
      <w:pPr>
        <w:rPr>
          <w:rFonts w:hint="eastAsia"/>
        </w:rPr>
      </w:pPr>
    </w:p>
    <w:p>
      <w:pPr>
        <w:spacing w:after="160" w:line="278" w:lineRule="auto"/>
        <w:ind w:firstLine="480"/>
        <w:rPr>
          <w:rFonts w:asciiTheme="minorHAnsi" w:hAnsiTheme="minorHAnsi"/>
        </w:rPr>
      </w:pPr>
      <w:r>
        <w:rPr>
          <w:rFonts w:hint="eastAsia" w:asciiTheme="minorHAnsi" w:hAnsiTheme="minorHAnsi"/>
        </w:rPr>
        <w:t xml:space="preserve">          </w:t>
      </w:r>
    </w:p>
    <w:p>
      <w:pPr>
        <w:spacing w:before="156" w:beforeLines="50" w:after="160" w:line="278" w:lineRule="auto"/>
        <w:ind w:firstLine="1041"/>
        <w:jc w:val="center"/>
        <w:rPr>
          <w:rFonts w:hint="eastAsia" w:ascii="华文中宋" w:hAnsi="华文中宋" w:eastAsia="华文中宋" w:cs="华文中宋"/>
          <w:b/>
          <w:bCs/>
          <w:sz w:val="52"/>
          <w:szCs w:val="52"/>
          <w:lang w:eastAsia="zh-CN"/>
        </w:rPr>
      </w:pPr>
      <w:r>
        <w:rPr>
          <w:rFonts w:hint="eastAsia" w:ascii="华文中宋" w:hAnsi="华文中宋" w:eastAsia="华文中宋" w:cs="华文中宋"/>
          <w:b/>
          <w:bCs/>
          <w:sz w:val="52"/>
          <w:szCs w:val="52"/>
        </w:rPr>
        <w:t>大学生创新训练计划结项</w:t>
      </w:r>
      <w:r>
        <w:rPr>
          <w:rFonts w:hint="eastAsia" w:ascii="华文中宋" w:hAnsi="华文中宋" w:eastAsia="华文中宋" w:cs="华文中宋"/>
          <w:b/>
          <w:bCs/>
          <w:sz w:val="52"/>
          <w:szCs w:val="52"/>
          <w:lang w:val="en-US" w:eastAsia="zh-CN"/>
        </w:rPr>
        <w:t>支撑材料</w:t>
      </w:r>
    </w:p>
    <w:p>
      <w:pPr>
        <w:spacing w:before="156" w:beforeLines="50" w:after="160" w:line="278" w:lineRule="auto"/>
        <w:ind w:firstLine="1041"/>
        <w:jc w:val="center"/>
        <w:rPr>
          <w:rFonts w:hint="eastAsia" w:ascii="华文中宋" w:hAnsi="华文中宋" w:eastAsia="华文中宋" w:cs="华文中宋"/>
          <w:b/>
          <w:bCs/>
          <w:sz w:val="52"/>
          <w:szCs w:val="52"/>
        </w:rPr>
      </w:pPr>
    </w:p>
    <w:p>
      <w:pPr>
        <w:spacing w:after="160" w:line="278" w:lineRule="auto"/>
        <w:ind w:firstLine="480"/>
        <w:jc w:val="center"/>
        <w:rPr>
          <w:rFonts w:asciiTheme="minorHAnsi" w:hAnsiTheme="minorHAnsi"/>
        </w:rPr>
      </w:pPr>
      <w:r>
        <w:rPr>
          <w:rFonts w:hint="eastAsia" w:asciiTheme="minorHAnsi" w:hAnsiTheme="minorHAnsi"/>
        </w:rPr>
        <w:drawing>
          <wp:inline distT="0" distB="0" distL="114300" distR="114300">
            <wp:extent cx="2408555" cy="1806575"/>
            <wp:effectExtent l="0" t="0" r="1270" b="3175"/>
            <wp:docPr id="1" name="图片 1" descr="西北政法大学新校徽校名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北政法大学新校徽校名5"/>
                    <pic:cNvPicPr>
                      <a:picLocks noChangeAspect="1"/>
                    </pic:cNvPicPr>
                  </pic:nvPicPr>
                  <pic:blipFill>
                    <a:blip r:embed="rId10"/>
                    <a:stretch>
                      <a:fillRect/>
                    </a:stretch>
                  </pic:blipFill>
                  <pic:spPr>
                    <a:xfrm>
                      <a:off x="0" y="0"/>
                      <a:ext cx="2408555" cy="1806575"/>
                    </a:xfrm>
                    <a:prstGeom prst="rect">
                      <a:avLst/>
                    </a:prstGeom>
                  </pic:spPr>
                </pic:pic>
              </a:graphicData>
            </a:graphic>
          </wp:inline>
        </w:drawing>
      </w:r>
    </w:p>
    <w:p>
      <w:pPr>
        <w:spacing w:after="160" w:line="278" w:lineRule="auto"/>
        <w:ind w:firstLine="480"/>
        <w:jc w:val="center"/>
        <w:rPr>
          <w:rFonts w:asciiTheme="minorHAnsi" w:hAnsiTheme="minorHAnsi"/>
        </w:rPr>
      </w:pPr>
    </w:p>
    <w:p>
      <w:pPr>
        <w:spacing w:after="160" w:line="278" w:lineRule="auto"/>
        <w:ind w:firstLine="480"/>
        <w:jc w:val="center"/>
        <w:rPr>
          <w:rFonts w:asciiTheme="minorHAnsi" w:hAnsiTheme="minorHAnsi"/>
        </w:rPr>
      </w:pPr>
    </w:p>
    <w:p>
      <w:pPr>
        <w:spacing w:after="160" w:line="278" w:lineRule="auto"/>
        <w:ind w:firstLine="480"/>
        <w:jc w:val="center"/>
        <w:rPr>
          <w:rFonts w:asciiTheme="minorHAnsi" w:hAnsiTheme="minorHAnsi"/>
        </w:rPr>
      </w:pPr>
    </w:p>
    <w:p>
      <w:pPr>
        <w:spacing w:after="160" w:line="278" w:lineRule="auto"/>
        <w:ind w:firstLine="1441" w:firstLineChars="400"/>
        <w:rPr>
          <w:rFonts w:hint="eastAsia" w:ascii="宋体" w:hAnsi="宋体"/>
          <w:b/>
          <w:bCs/>
          <w:sz w:val="32"/>
          <w:szCs w:val="32"/>
          <w:u w:val="single"/>
        </w:rPr>
      </w:pPr>
      <w:r>
        <w:rPr>
          <w:rFonts w:hint="eastAsia" w:ascii="华文中宋" w:hAnsi="华文中宋" w:eastAsia="华文中宋" w:cs="华文中宋"/>
          <w:b/>
          <w:bCs/>
          <w:sz w:val="36"/>
          <w:szCs w:val="36"/>
        </w:rPr>
        <w:t xml:space="preserve">项目名称   </w:t>
      </w:r>
      <w:r>
        <w:rPr>
          <w:rFonts w:hint="eastAsia" w:ascii="宋体" w:hAnsi="宋体"/>
          <w:b w:val="0"/>
          <w:bCs w:val="0"/>
          <w:sz w:val="32"/>
          <w:szCs w:val="32"/>
          <w:u w:val="single"/>
        </w:rPr>
        <w:t>苗绣竹韵家居</w:t>
      </w:r>
      <w:r>
        <w:rPr>
          <w:rFonts w:hint="eastAsia" w:ascii="宋体" w:hAnsi="宋体"/>
          <w:b w:val="0"/>
          <w:bCs w:val="0"/>
          <w:sz w:val="32"/>
          <w:szCs w:val="32"/>
          <w:u w:val="single"/>
          <w:lang w:val="en-US" w:eastAsia="zh-CN"/>
        </w:rPr>
        <w:t>·</w:t>
      </w:r>
      <w:r>
        <w:rPr>
          <w:rFonts w:hint="eastAsia" w:ascii="宋体" w:hAnsi="宋体"/>
          <w:b w:val="0"/>
          <w:bCs w:val="0"/>
          <w:sz w:val="32"/>
          <w:szCs w:val="32"/>
          <w:u w:val="single"/>
        </w:rPr>
        <w:t xml:space="preserve">助力乡村振兴 </w:t>
      </w:r>
      <w:r>
        <w:rPr>
          <w:rFonts w:hint="eastAsia" w:ascii="宋体" w:hAnsi="宋体"/>
          <w:b/>
          <w:bCs/>
          <w:sz w:val="32"/>
          <w:szCs w:val="32"/>
          <w:u w:val="single"/>
        </w:rPr>
        <w:t xml:space="preserve">      </w:t>
      </w:r>
    </w:p>
    <w:p>
      <w:pPr>
        <w:spacing w:after="160" w:line="278" w:lineRule="auto"/>
        <w:ind w:firstLine="1441" w:firstLineChars="400"/>
        <w:jc w:val="left"/>
        <w:rPr>
          <w:rFonts w:hint="eastAsia" w:ascii="仿宋" w:hAnsi="仿宋" w:cs="仿宋"/>
          <w:b/>
          <w:bCs/>
          <w:u w:val="single"/>
        </w:rPr>
      </w:pPr>
      <w:r>
        <w:rPr>
          <w:rFonts w:hint="eastAsia" w:ascii="华文中宋" w:hAnsi="华文中宋" w:eastAsia="华文中宋" w:cs="华文中宋"/>
          <w:b/>
          <w:bCs/>
          <w:sz w:val="36"/>
          <w:szCs w:val="36"/>
        </w:rPr>
        <w:t xml:space="preserve">项目级别   </w:t>
      </w:r>
      <w:r>
        <w:rPr>
          <w:rFonts w:hint="eastAsia" w:ascii="宋体" w:hAnsi="宋体"/>
          <w:bCs/>
          <w:sz w:val="32"/>
          <w:u w:val="single"/>
        </w:rPr>
        <w:t xml:space="preserve">       </w:t>
      </w:r>
      <w:r>
        <w:rPr>
          <w:rFonts w:hint="eastAsia" w:ascii="仿宋" w:hAnsi="仿宋" w:eastAsia="仿宋" w:cs="仿宋"/>
          <w:bCs/>
          <w:sz w:val="28"/>
          <w:szCs w:val="28"/>
          <w:u w:val="single"/>
        </w:rPr>
        <w:t>省级</w:t>
      </w:r>
      <w:r>
        <w:rPr>
          <w:rFonts w:hint="eastAsia" w:ascii="宋体" w:hAnsi="宋体"/>
          <w:bCs/>
          <w:sz w:val="32"/>
          <w:u w:val="single"/>
        </w:rPr>
        <w:t xml:space="preserve">                      </w:t>
      </w:r>
    </w:p>
    <w:p>
      <w:pPr>
        <w:spacing w:after="160" w:line="278" w:lineRule="auto"/>
        <w:ind w:firstLine="1441" w:firstLineChars="400"/>
        <w:jc w:val="left"/>
        <w:rPr>
          <w:rFonts w:hint="eastAsia" w:ascii="华文中宋" w:hAnsi="华文中宋" w:cs="华文中宋"/>
          <w:b/>
          <w:bCs/>
          <w:sz w:val="36"/>
          <w:szCs w:val="36"/>
        </w:rPr>
      </w:pPr>
      <w:r>
        <w:rPr>
          <w:rFonts w:hint="eastAsia" w:ascii="华文中宋" w:hAnsi="华文中宋" w:eastAsia="华文中宋" w:cs="华文中宋"/>
          <w:b/>
          <w:bCs/>
          <w:sz w:val="36"/>
          <w:szCs w:val="36"/>
        </w:rPr>
        <w:t xml:space="preserve">项目类型   </w:t>
      </w:r>
      <w:r>
        <w:rPr>
          <w:rFonts w:hint="eastAsia" w:ascii="宋体" w:hAnsi="宋体"/>
          <w:bCs/>
          <w:sz w:val="32"/>
          <w:u w:val="single"/>
        </w:rPr>
        <w:t xml:space="preserve">     </w:t>
      </w:r>
      <w:r>
        <w:rPr>
          <w:rFonts w:hint="eastAsia" w:ascii="仿宋" w:hAnsi="仿宋" w:eastAsia="仿宋" w:cs="仿宋"/>
          <w:bCs/>
          <w:u w:val="single"/>
        </w:rPr>
        <w:t xml:space="preserve"> </w:t>
      </w:r>
      <w:r>
        <w:rPr>
          <w:rFonts w:hint="eastAsia" w:ascii="仿宋" w:hAnsi="仿宋" w:eastAsia="仿宋" w:cs="仿宋"/>
          <w:bCs/>
          <w:sz w:val="28"/>
          <w:szCs w:val="28"/>
          <w:u w:val="single"/>
        </w:rPr>
        <w:t>创业训练项目</w:t>
      </w:r>
      <w:r>
        <w:rPr>
          <w:rFonts w:hint="eastAsia" w:ascii="仿宋" w:hAnsi="仿宋" w:eastAsia="仿宋" w:cs="仿宋"/>
          <w:bCs/>
          <w:u w:val="single"/>
        </w:rPr>
        <w:t xml:space="preserve">   </w:t>
      </w:r>
      <w:r>
        <w:rPr>
          <w:rFonts w:hint="eastAsia" w:ascii="宋体" w:hAnsi="宋体"/>
          <w:bCs/>
          <w:sz w:val="32"/>
          <w:u w:val="single"/>
        </w:rPr>
        <w:t xml:space="preserve">               </w:t>
      </w:r>
    </w:p>
    <w:p>
      <w:pPr>
        <w:spacing w:after="160" w:line="278" w:lineRule="auto"/>
        <w:ind w:firstLine="1441" w:firstLineChars="400"/>
        <w:rPr>
          <w:rFonts w:hint="eastAsia" w:ascii="华文中宋" w:hAnsi="华文中宋" w:cs="华文中宋"/>
          <w:b/>
          <w:bCs/>
          <w:sz w:val="36"/>
          <w:szCs w:val="36"/>
          <w:u w:val="single"/>
        </w:rPr>
      </w:pPr>
      <w:r>
        <w:rPr>
          <w:rFonts w:hint="eastAsia" w:ascii="华文中宋" w:hAnsi="华文中宋" w:eastAsia="华文中宋" w:cs="华文中宋"/>
          <w:b/>
          <w:bCs/>
          <w:sz w:val="36"/>
          <w:szCs w:val="36"/>
        </w:rPr>
        <w:t xml:space="preserve">指导老师   </w:t>
      </w:r>
      <w:r>
        <w:rPr>
          <w:rFonts w:hint="eastAsia" w:ascii="宋体" w:hAnsi="宋体"/>
          <w:bCs/>
          <w:sz w:val="32"/>
          <w:u w:val="single"/>
        </w:rPr>
        <w:t xml:space="preserve">      </w:t>
      </w:r>
      <w:r>
        <w:rPr>
          <w:rFonts w:hint="eastAsia" w:ascii="仿宋" w:hAnsi="仿宋" w:eastAsia="仿宋" w:cs="仿宋"/>
          <w:bCs/>
          <w:sz w:val="28"/>
          <w:szCs w:val="28"/>
          <w:u w:val="single"/>
        </w:rPr>
        <w:t>郝少英</w:t>
      </w:r>
      <w:r>
        <w:rPr>
          <w:rFonts w:hint="eastAsia" w:ascii="仿宋" w:hAnsi="仿宋" w:eastAsia="仿宋" w:cs="仿宋"/>
          <w:bCs/>
          <w:sz w:val="28"/>
          <w:szCs w:val="28"/>
          <w:u w:val="single"/>
          <w:lang w:eastAsia="zh-CN"/>
        </w:rPr>
        <w:t>、</w:t>
      </w:r>
      <w:r>
        <w:rPr>
          <w:rFonts w:hint="eastAsia" w:ascii="仿宋" w:hAnsi="仿宋" w:eastAsia="仿宋" w:cs="仿宋"/>
          <w:bCs/>
          <w:sz w:val="28"/>
          <w:szCs w:val="28"/>
          <w:u w:val="single"/>
          <w:lang w:val="en-US" w:eastAsia="zh-CN"/>
        </w:rPr>
        <w:t>石红溶</w:t>
      </w:r>
      <w:r>
        <w:rPr>
          <w:rFonts w:hint="eastAsia" w:ascii="仿宋" w:hAnsi="仿宋" w:eastAsia="仿宋" w:cs="仿宋"/>
          <w:bCs/>
          <w:u w:val="single"/>
        </w:rPr>
        <w:t xml:space="preserve">   </w:t>
      </w:r>
      <w:r>
        <w:rPr>
          <w:rFonts w:hint="eastAsia" w:ascii="宋体" w:hAnsi="宋体"/>
          <w:bCs/>
          <w:sz w:val="32"/>
          <w:u w:val="single"/>
        </w:rPr>
        <w:t xml:space="preserve">             </w:t>
      </w:r>
    </w:p>
    <w:p>
      <w:pPr>
        <w:spacing w:after="160" w:line="278" w:lineRule="auto"/>
        <w:ind w:firstLine="1441" w:firstLineChars="400"/>
        <w:jc w:val="left"/>
        <w:rPr>
          <w:rFonts w:hint="eastAsia" w:ascii="华文中宋" w:hAnsi="华文中宋" w:eastAsia="华文中宋" w:cs="华文中宋"/>
          <w:b/>
          <w:bCs/>
          <w:sz w:val="36"/>
          <w:szCs w:val="36"/>
        </w:rPr>
      </w:pPr>
      <w:r>
        <w:rPr>
          <w:rFonts w:hint="eastAsia" w:ascii="华文中宋" w:hAnsi="华文中宋" w:eastAsia="华文中宋" w:cs="华文中宋"/>
          <w:b/>
          <w:bCs/>
          <w:sz w:val="36"/>
          <w:szCs w:val="36"/>
        </w:rPr>
        <w:t xml:space="preserve">项目负责人 </w:t>
      </w:r>
      <w:r>
        <w:rPr>
          <w:rFonts w:hint="eastAsia" w:ascii="宋体" w:hAnsi="宋体"/>
          <w:bCs/>
          <w:sz w:val="32"/>
          <w:u w:val="single"/>
        </w:rPr>
        <w:t xml:space="preserve">      </w:t>
      </w:r>
      <w:r>
        <w:rPr>
          <w:rFonts w:hint="eastAsia" w:ascii="仿宋" w:hAnsi="仿宋" w:eastAsia="仿宋" w:cs="仿宋"/>
          <w:bCs/>
          <w:sz w:val="28"/>
          <w:szCs w:val="28"/>
          <w:u w:val="single"/>
        </w:rPr>
        <w:t>辛佳慧</w:t>
      </w:r>
      <w:r>
        <w:rPr>
          <w:rFonts w:hint="eastAsia" w:ascii="宋体" w:hAnsi="宋体"/>
          <w:bCs/>
          <w:sz w:val="32"/>
          <w:u w:val="single"/>
        </w:rPr>
        <w:t xml:space="preserve">                     </w:t>
      </w:r>
    </w:p>
    <w:p>
      <w:pPr>
        <w:spacing w:after="160" w:line="278" w:lineRule="auto"/>
        <w:ind w:firstLine="1441" w:firstLineChars="400"/>
        <w:rPr>
          <w:rFonts w:hint="eastAsia" w:ascii="华文中宋" w:hAnsi="华文中宋" w:eastAsia="华文中宋" w:cs="华文中宋"/>
          <w:b/>
          <w:bCs/>
          <w:sz w:val="36"/>
          <w:szCs w:val="36"/>
        </w:rPr>
      </w:pPr>
    </w:p>
    <w:p>
      <w:pPr>
        <w:spacing w:after="160" w:line="278" w:lineRule="auto"/>
        <w:ind w:firstLine="0" w:firstLineChars="0"/>
        <w:jc w:val="center"/>
        <w:rPr>
          <w:rFonts w:hint="eastAsia" w:ascii="仿宋" w:hAnsi="仿宋" w:eastAsia="仿宋"/>
          <w:b/>
          <w:sz w:val="28"/>
          <w:szCs w:val="28"/>
        </w:rPr>
      </w:pPr>
      <w:r>
        <w:rPr>
          <w:rFonts w:hint="eastAsia" w:ascii="仿宋" w:hAnsi="仿宋" w:eastAsia="仿宋"/>
          <w:b/>
          <w:sz w:val="28"/>
          <w:szCs w:val="28"/>
        </w:rPr>
        <w:t>2026年    4月  13日</w:t>
      </w:r>
    </w:p>
    <w:p>
      <w:pPr>
        <w:ind w:firstLine="0" w:firstLineChars="0"/>
        <w:sectPr>
          <w:pgSz w:w="11906" w:h="16838"/>
          <w:pgMar w:top="1417" w:right="1134" w:bottom="1417" w:left="1134" w:header="851" w:footer="992" w:gutter="0"/>
          <w:pgNumType w:fmt="upperRoman"/>
          <w:cols w:space="0" w:num="1"/>
          <w:titlePg/>
          <w:docGrid w:type="lines" w:linePitch="312" w:charSpace="0"/>
        </w:sectPr>
      </w:pPr>
    </w:p>
    <w:p>
      <w:pPr>
        <w:rPr>
          <w:rFonts w:hint="eastAsia"/>
        </w:rPr>
      </w:pPr>
    </w:p>
    <w:p>
      <w:pPr>
        <w:rPr>
          <w:rFonts w:hint="eastAsia"/>
        </w:rPr>
      </w:pPr>
    </w:p>
    <w:p>
      <w:pPr>
        <w:pStyle w:val="14"/>
        <w:tabs>
          <w:tab w:val="right" w:leader="dot" w:pos="9638"/>
        </w:tabs>
      </w:pPr>
      <w:r>
        <w:rPr>
          <w:rFonts w:hint="eastAsia"/>
        </w:rPr>
        <w:fldChar w:fldCharType="begin"/>
      </w:r>
      <w:r>
        <w:rPr>
          <w:rFonts w:hint="eastAsia"/>
        </w:rPr>
        <w:instrText xml:space="preserve">TOC \o "1-1" \h \u </w:instrText>
      </w:r>
      <w:r>
        <w:rPr>
          <w:rFonts w:hint="eastAsia"/>
        </w:rPr>
        <w:fldChar w:fldCharType="separate"/>
      </w:r>
      <w:r>
        <w:rPr>
          <w:rFonts w:hint="eastAsia"/>
        </w:rPr>
        <w:fldChar w:fldCharType="begin"/>
      </w:r>
      <w:r>
        <w:rPr>
          <w:rFonts w:hint="eastAsia"/>
        </w:rPr>
        <w:instrText xml:space="preserve"> HYPERLINK \l _Toc1041 </w:instrText>
      </w:r>
      <w:r>
        <w:rPr>
          <w:rFonts w:hint="eastAsia"/>
        </w:rPr>
        <w:fldChar w:fldCharType="separate"/>
      </w:r>
      <w:r>
        <w:rPr>
          <w:rFonts w:hint="eastAsia"/>
          <w:lang w:val="en-US" w:eastAsia="zh-CN"/>
        </w:rPr>
        <w:t>一、 专利申请记录</w:t>
      </w:r>
      <w:r>
        <w:tab/>
      </w:r>
      <w:r>
        <w:fldChar w:fldCharType="begin"/>
      </w:r>
      <w:r>
        <w:instrText xml:space="preserve"> PAGEREF _Toc1041 </w:instrText>
      </w:r>
      <w:r>
        <w:fldChar w:fldCharType="separate"/>
      </w:r>
      <w:r>
        <w:t>1</w:t>
      </w:r>
      <w:r>
        <w:fldChar w:fldCharType="end"/>
      </w:r>
      <w:r>
        <w:rPr>
          <w:rFonts w:hint="eastAsia"/>
        </w:rPr>
        <w:fldChar w:fldCharType="end"/>
      </w:r>
    </w:p>
    <w:p>
      <w:pPr>
        <w:pStyle w:val="14"/>
        <w:tabs>
          <w:tab w:val="right" w:leader="dot" w:pos="9638"/>
        </w:tabs>
      </w:pPr>
      <w:r>
        <w:rPr>
          <w:rFonts w:hint="eastAsia"/>
        </w:rPr>
        <w:fldChar w:fldCharType="begin"/>
      </w:r>
      <w:r>
        <w:rPr>
          <w:rFonts w:hint="eastAsia"/>
        </w:rPr>
        <w:instrText xml:space="preserve"> HYPERLINK \l _Toc13145 </w:instrText>
      </w:r>
      <w:r>
        <w:rPr>
          <w:rFonts w:hint="eastAsia"/>
        </w:rPr>
        <w:fldChar w:fldCharType="separate"/>
      </w:r>
      <w:r>
        <w:rPr>
          <w:rFonts w:hint="eastAsia"/>
          <w:lang w:val="en-US" w:eastAsia="zh-CN"/>
        </w:rPr>
        <w:t>二、 苗绣衣柜设计图</w:t>
      </w:r>
      <w:r>
        <w:tab/>
      </w:r>
      <w:r>
        <w:fldChar w:fldCharType="begin"/>
      </w:r>
      <w:r>
        <w:instrText xml:space="preserve"> PAGEREF _Toc13145 </w:instrText>
      </w:r>
      <w:r>
        <w:fldChar w:fldCharType="separate"/>
      </w:r>
      <w:r>
        <w:t>1</w:t>
      </w:r>
      <w:r>
        <w:fldChar w:fldCharType="end"/>
      </w:r>
      <w:r>
        <w:rPr>
          <w:rFonts w:hint="eastAsia"/>
        </w:rPr>
        <w:fldChar w:fldCharType="end"/>
      </w:r>
    </w:p>
    <w:p>
      <w:pPr>
        <w:pStyle w:val="14"/>
        <w:tabs>
          <w:tab w:val="right" w:leader="dot" w:pos="9638"/>
        </w:tabs>
      </w:pPr>
      <w:r>
        <w:rPr>
          <w:rFonts w:hint="eastAsia"/>
        </w:rPr>
        <w:fldChar w:fldCharType="begin"/>
      </w:r>
      <w:r>
        <w:rPr>
          <w:rFonts w:hint="eastAsia"/>
        </w:rPr>
        <w:instrText xml:space="preserve"> HYPERLINK \l _Toc14836 </w:instrText>
      </w:r>
      <w:r>
        <w:rPr>
          <w:rFonts w:hint="eastAsia"/>
        </w:rPr>
        <w:fldChar w:fldCharType="separate"/>
      </w:r>
      <w:r>
        <w:rPr>
          <w:rFonts w:hint="eastAsia"/>
          <w:lang w:val="en-US" w:eastAsia="zh-CN"/>
        </w:rPr>
        <w:t>三、 苗绣壁灯设计图</w:t>
      </w:r>
      <w:r>
        <w:tab/>
      </w:r>
      <w:r>
        <w:fldChar w:fldCharType="begin"/>
      </w:r>
      <w:r>
        <w:instrText xml:space="preserve"> PAGEREF _Toc14836 </w:instrText>
      </w:r>
      <w:r>
        <w:fldChar w:fldCharType="separate"/>
      </w:r>
      <w:r>
        <w:t>2</w:t>
      </w:r>
      <w:r>
        <w:fldChar w:fldCharType="end"/>
      </w:r>
      <w:r>
        <w:rPr>
          <w:rFonts w:hint="eastAsia"/>
        </w:rPr>
        <w:fldChar w:fldCharType="end"/>
      </w:r>
    </w:p>
    <w:p>
      <w:pPr>
        <w:pStyle w:val="14"/>
        <w:tabs>
          <w:tab w:val="right" w:leader="dot" w:pos="9638"/>
        </w:tabs>
      </w:pPr>
      <w:r>
        <w:rPr>
          <w:rFonts w:hint="eastAsia"/>
        </w:rPr>
        <w:fldChar w:fldCharType="begin"/>
      </w:r>
      <w:r>
        <w:rPr>
          <w:rFonts w:hint="eastAsia"/>
        </w:rPr>
        <w:instrText xml:space="preserve"> HYPERLINK \l _Toc1147 </w:instrText>
      </w:r>
      <w:r>
        <w:rPr>
          <w:rFonts w:hint="eastAsia"/>
        </w:rPr>
        <w:fldChar w:fldCharType="separate"/>
      </w:r>
      <w:r>
        <w:rPr>
          <w:rFonts w:hint="eastAsia"/>
          <w:lang w:eastAsia="en-US"/>
        </w:rPr>
        <w:t xml:space="preserve">四、 </w:t>
      </w:r>
      <w:r>
        <w:rPr>
          <w:lang w:eastAsia="en-US"/>
        </w:rPr>
        <w:t>关于“苗绣智能家居”产品的消费意向调查</w:t>
      </w:r>
      <w:r>
        <w:tab/>
      </w:r>
      <w:r>
        <w:fldChar w:fldCharType="begin"/>
      </w:r>
      <w:r>
        <w:instrText xml:space="preserve"> PAGEREF _Toc1147 </w:instrText>
      </w:r>
      <w:r>
        <w:fldChar w:fldCharType="separate"/>
      </w:r>
      <w:r>
        <w:t>3</w:t>
      </w:r>
      <w:r>
        <w:fldChar w:fldCharType="end"/>
      </w:r>
      <w:r>
        <w:rPr>
          <w:rFonts w:hint="eastAsia"/>
        </w:rPr>
        <w:fldChar w:fldCharType="end"/>
      </w:r>
    </w:p>
    <w:p>
      <w:pPr>
        <w:pStyle w:val="14"/>
        <w:tabs>
          <w:tab w:val="right" w:leader="dot" w:pos="9638"/>
        </w:tabs>
      </w:pPr>
      <w:r>
        <w:rPr>
          <w:rFonts w:hint="eastAsia"/>
        </w:rPr>
        <w:fldChar w:fldCharType="begin"/>
      </w:r>
      <w:r>
        <w:rPr>
          <w:rFonts w:hint="eastAsia"/>
        </w:rPr>
        <w:instrText xml:space="preserve"> HYPERLINK \l _Toc30417 </w:instrText>
      </w:r>
      <w:r>
        <w:rPr>
          <w:rFonts w:hint="eastAsia"/>
        </w:rPr>
        <w:fldChar w:fldCharType="separate"/>
      </w:r>
      <w:r>
        <w:rPr>
          <w:rFonts w:hint="eastAsia"/>
        </w:rPr>
        <w:t>五、 非遗活化与乡村振兴深度融合的路径研究——基于多个典型案例的调研分析</w:t>
      </w:r>
      <w:r>
        <w:tab/>
      </w:r>
      <w:r>
        <w:fldChar w:fldCharType="begin"/>
      </w:r>
      <w:r>
        <w:instrText xml:space="preserve"> PAGEREF _Toc30417 </w:instrText>
      </w:r>
      <w:r>
        <w:fldChar w:fldCharType="separate"/>
      </w:r>
      <w:r>
        <w:t>6</w:t>
      </w:r>
      <w:r>
        <w:fldChar w:fldCharType="end"/>
      </w:r>
      <w:r>
        <w:rPr>
          <w:rFonts w:hint="eastAsia"/>
        </w:rPr>
        <w:fldChar w:fldCharType="end"/>
      </w:r>
    </w:p>
    <w:p>
      <w:pPr>
        <w:pStyle w:val="14"/>
        <w:tabs>
          <w:tab w:val="right" w:leader="dot" w:pos="9638"/>
        </w:tabs>
      </w:pPr>
    </w:p>
    <w:p>
      <w:pPr>
        <w:rPr>
          <w:rFonts w:hint="eastAsia"/>
        </w:rPr>
      </w:pPr>
      <w:r>
        <w:rPr>
          <w:rFonts w:hint="eastAsia"/>
        </w:rPr>
        <w:fldChar w:fldCharType="end"/>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r>
        <w:rPr>
          <w:rFonts w:hint="eastAsia"/>
        </w:rPr>
        <w:t xml:space="preserve">              </w:t>
      </w:r>
    </w:p>
    <w:p>
      <w:pPr>
        <w:bidi w:val="0"/>
        <w:rPr>
          <w:rFonts w:ascii="Calibri" w:hAnsi="Calibri"/>
        </w:rPr>
      </w:pPr>
    </w:p>
    <w:p>
      <w:pPr>
        <w:bidi w:val="0"/>
        <w:rPr>
          <w:rFonts w:ascii="Calibri" w:hAnsi="Calibri"/>
        </w:rPr>
      </w:pPr>
    </w:p>
    <w:p>
      <w:pPr>
        <w:bidi w:val="0"/>
        <w:rPr>
          <w:rFonts w:ascii="Calibri" w:hAnsi="Calibri"/>
        </w:rPr>
      </w:pPr>
    </w:p>
    <w:p>
      <w:pPr>
        <w:bidi w:val="0"/>
        <w:rPr>
          <w:rFonts w:ascii="Calibri" w:hAnsi="Calibri"/>
        </w:rPr>
      </w:pPr>
    </w:p>
    <w:p>
      <w:pPr>
        <w:bidi w:val="0"/>
        <w:rPr>
          <w:rFonts w:ascii="Calibri" w:hAnsi="Calibri"/>
        </w:rPr>
      </w:pPr>
    </w:p>
    <w:p>
      <w:pPr>
        <w:bidi w:val="0"/>
        <w:rPr>
          <w:rFonts w:ascii="Calibri" w:hAnsi="Calibri"/>
        </w:rPr>
      </w:pPr>
    </w:p>
    <w:p>
      <w:pPr>
        <w:bidi w:val="0"/>
        <w:ind w:left="0" w:leftChars="0" w:firstLine="0" w:firstLineChars="0"/>
        <w:rPr>
          <w:rFonts w:ascii="Calibri" w:hAnsi="Calibri"/>
        </w:rPr>
      </w:pPr>
    </w:p>
    <w:p>
      <w:pPr>
        <w:bidi w:val="0"/>
        <w:ind w:left="0" w:leftChars="0" w:firstLine="0" w:firstLineChars="0"/>
        <w:rPr>
          <w:rFonts w:ascii="Calibri" w:hAnsi="Calibri"/>
        </w:rPr>
      </w:pPr>
    </w:p>
    <w:p>
      <w:pPr>
        <w:bidi w:val="0"/>
        <w:ind w:left="0" w:leftChars="0" w:firstLine="0" w:firstLineChars="0"/>
        <w:rPr>
          <w:rFonts w:ascii="Calibri" w:hAnsi="Calibri"/>
        </w:rPr>
      </w:pPr>
    </w:p>
    <w:p>
      <w:pPr>
        <w:pStyle w:val="2"/>
        <w:bidi w:val="0"/>
        <w:rPr>
          <w:rFonts w:hint="default"/>
          <w:lang w:val="en-US" w:eastAsia="zh-CN"/>
        </w:rPr>
        <w:sectPr>
          <w:headerReference r:id="rId4" w:type="first"/>
          <w:footerReference r:id="rId6" w:type="first"/>
          <w:headerReference r:id="rId3" w:type="default"/>
          <w:footerReference r:id="rId5" w:type="default"/>
          <w:pgSz w:w="11906" w:h="16838"/>
          <w:pgMar w:top="1417" w:right="1134" w:bottom="1417" w:left="1134" w:header="851" w:footer="992" w:gutter="0"/>
          <w:pgNumType w:fmt="upperRoman" w:start="1"/>
          <w:cols w:space="0" w:num="1"/>
          <w:titlePg/>
          <w:docGrid w:type="lines" w:linePitch="312" w:charSpace="0"/>
        </w:sectPr>
      </w:pPr>
    </w:p>
    <w:p>
      <w:pPr>
        <w:pStyle w:val="2"/>
        <w:bidi w:val="0"/>
        <w:rPr>
          <w:rFonts w:hint="default"/>
          <w:lang w:val="en-US" w:eastAsia="zh-CN"/>
        </w:rPr>
      </w:pPr>
      <w:bookmarkStart w:id="0" w:name="_Toc1041"/>
      <w:r>
        <w:rPr>
          <w:rFonts w:hint="eastAsia"/>
          <w:lang w:val="en-US" w:eastAsia="zh-CN"/>
        </w:rPr>
        <w:t>专利申请记录</w:t>
      </w:r>
      <w:bookmarkEnd w:id="0"/>
    </w:p>
    <w:p>
      <w:pPr>
        <w:bidi w:val="0"/>
        <w:rPr>
          <w:rFonts w:ascii="Calibri" w:hAnsi="Calibri"/>
        </w:rPr>
      </w:pPr>
      <w:r>
        <w:rPr>
          <w:rFonts w:ascii="Calibri" w:hAnsi="Calibri"/>
        </w:rPr>
        <w:drawing>
          <wp:inline distT="0" distB="0" distL="114300" distR="114300">
            <wp:extent cx="5262880" cy="1469390"/>
            <wp:effectExtent l="0" t="0" r="444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262880" cy="1469390"/>
                    </a:xfrm>
                    <a:prstGeom prst="rect">
                      <a:avLst/>
                    </a:prstGeom>
                    <a:noFill/>
                    <a:ln>
                      <a:noFill/>
                    </a:ln>
                  </pic:spPr>
                </pic:pic>
              </a:graphicData>
            </a:graphic>
          </wp:inline>
        </w:drawing>
      </w:r>
    </w:p>
    <w:p>
      <w:pPr>
        <w:pStyle w:val="2"/>
        <w:bidi w:val="0"/>
        <w:rPr>
          <w:rFonts w:hint="default"/>
          <w:lang w:val="en-US" w:eastAsia="zh-CN"/>
        </w:rPr>
      </w:pPr>
      <w:bookmarkStart w:id="1" w:name="_Toc13145"/>
      <w:r>
        <w:rPr>
          <w:rFonts w:hint="eastAsia"/>
          <w:lang w:val="en-US" w:eastAsia="zh-CN"/>
        </w:rPr>
        <w:t>苗绣衣柜设计图</w:t>
      </w:r>
      <w:bookmarkEnd w:id="1"/>
    </w:p>
    <w:p>
      <w:pPr>
        <w:bidi w:val="0"/>
        <w:rPr>
          <w:rFonts w:hint="eastAsia" w:ascii="Calibri" w:hAnsi="Calibri" w:eastAsia="宋体"/>
          <w:vertAlign w:val="baseline"/>
          <w:lang w:eastAsia="zh-CN"/>
        </w:rPr>
      </w:pPr>
      <w:bookmarkStart w:id="39" w:name="_GoBack"/>
      <w:r>
        <w:rPr>
          <w:rFonts w:hint="eastAsia" w:ascii="Calibri" w:hAnsi="Calibri" w:eastAsia="宋体"/>
          <w:vertAlign w:val="baseline"/>
          <w:lang w:eastAsia="zh-CN"/>
        </w:rPr>
        <w:drawing>
          <wp:inline distT="0" distB="0" distL="114300" distR="114300">
            <wp:extent cx="5268595" cy="6593205"/>
            <wp:effectExtent l="0" t="0" r="8255" b="7620"/>
            <wp:docPr id="5" name="图片 5" descr="苗绣衣柜版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苗绣衣柜版面"/>
                    <pic:cNvPicPr>
                      <a:picLocks noChangeAspect="1"/>
                    </pic:cNvPicPr>
                  </pic:nvPicPr>
                  <pic:blipFill>
                    <a:blip r:embed="rId12"/>
                    <a:stretch>
                      <a:fillRect/>
                    </a:stretch>
                  </pic:blipFill>
                  <pic:spPr>
                    <a:xfrm>
                      <a:off x="0" y="0"/>
                      <a:ext cx="5268595" cy="6593205"/>
                    </a:xfrm>
                    <a:prstGeom prst="rect">
                      <a:avLst/>
                    </a:prstGeom>
                  </pic:spPr>
                </pic:pic>
              </a:graphicData>
            </a:graphic>
          </wp:inline>
        </w:drawing>
      </w:r>
      <w:bookmarkEnd w:id="39"/>
    </w:p>
    <w:p>
      <w:pPr>
        <w:pStyle w:val="2"/>
        <w:bidi w:val="0"/>
        <w:rPr>
          <w:rFonts w:hint="default"/>
          <w:lang w:val="en-US" w:eastAsia="zh-CN"/>
        </w:rPr>
      </w:pPr>
      <w:bookmarkStart w:id="2" w:name="_Toc14836"/>
      <w:r>
        <w:rPr>
          <w:rFonts w:hint="eastAsia"/>
          <w:lang w:val="en-US" w:eastAsia="zh-CN"/>
        </w:rPr>
        <w:t>苗绣壁灯设计图</w:t>
      </w:r>
      <w:bookmarkEnd w:id="2"/>
    </w:p>
    <w:p>
      <w:pPr>
        <w:bidi w:val="0"/>
        <w:rPr>
          <w:rFonts w:hint="eastAsia" w:ascii="Calibri" w:hAnsi="Calibri" w:eastAsia="宋体"/>
          <w:vertAlign w:val="baseline"/>
          <w:lang w:eastAsia="zh-CN"/>
        </w:rPr>
      </w:pPr>
      <w:r>
        <w:rPr>
          <w:rFonts w:hint="eastAsia" w:ascii="Calibri" w:hAnsi="Calibri" w:eastAsia="宋体"/>
          <w:vertAlign w:val="baseline"/>
          <w:lang w:eastAsia="zh-CN"/>
        </w:rPr>
        <w:drawing>
          <wp:inline distT="0" distB="0" distL="114300" distR="114300">
            <wp:extent cx="5268595" cy="6821170"/>
            <wp:effectExtent l="0" t="0" r="8255" b="8255"/>
            <wp:docPr id="8" name="图片 8" descr="苗绣竹韵家居——壁灯版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苗绣竹韵家居——壁灯版面"/>
                    <pic:cNvPicPr>
                      <a:picLocks noChangeAspect="1"/>
                    </pic:cNvPicPr>
                  </pic:nvPicPr>
                  <pic:blipFill>
                    <a:blip r:embed="rId13"/>
                    <a:stretch>
                      <a:fillRect/>
                    </a:stretch>
                  </pic:blipFill>
                  <pic:spPr>
                    <a:xfrm>
                      <a:off x="0" y="0"/>
                      <a:ext cx="5268595" cy="6821170"/>
                    </a:xfrm>
                    <a:prstGeom prst="rect">
                      <a:avLst/>
                    </a:prstGeom>
                  </pic:spPr>
                </pic:pic>
              </a:graphicData>
            </a:graphic>
          </wp:inline>
        </w:drawing>
      </w:r>
    </w:p>
    <w:p>
      <w:pPr>
        <w:keepLines w:val="0"/>
        <w:widowControl/>
        <w:spacing w:after="400"/>
        <w:ind w:firstLine="160" w:firstLineChars="0"/>
        <w:jc w:val="center"/>
        <w:rPr>
          <w:rFonts w:ascii="Times New Roman" w:hAnsi="Times New Roman" w:eastAsia="Times New Roman" w:cs="Times New Roman"/>
          <w:b/>
          <w:kern w:val="0"/>
          <w:sz w:val="32"/>
          <w:lang w:eastAsia="en-US"/>
        </w:rPr>
      </w:pPr>
    </w:p>
    <w:p>
      <w:pPr>
        <w:keepLines w:val="0"/>
        <w:widowControl/>
        <w:spacing w:after="400"/>
        <w:ind w:firstLine="160" w:firstLineChars="0"/>
        <w:jc w:val="center"/>
        <w:rPr>
          <w:rFonts w:ascii="Times New Roman" w:hAnsi="Times New Roman" w:eastAsia="Times New Roman" w:cs="Times New Roman"/>
          <w:b/>
          <w:kern w:val="0"/>
          <w:sz w:val="32"/>
          <w:lang w:eastAsia="en-US"/>
        </w:rPr>
      </w:pPr>
    </w:p>
    <w:p>
      <w:pPr>
        <w:keepLines w:val="0"/>
        <w:widowControl/>
        <w:spacing w:after="400"/>
        <w:ind w:firstLine="160" w:firstLineChars="0"/>
        <w:jc w:val="center"/>
        <w:rPr>
          <w:rFonts w:ascii="Times New Roman" w:hAnsi="Times New Roman" w:eastAsia="Times New Roman" w:cs="Times New Roman"/>
          <w:b/>
          <w:kern w:val="0"/>
          <w:sz w:val="32"/>
          <w:lang w:eastAsia="en-US"/>
        </w:rPr>
      </w:pPr>
    </w:p>
    <w:p>
      <w:pPr>
        <w:pStyle w:val="2"/>
        <w:bidi w:val="0"/>
        <w:rPr>
          <w:lang w:eastAsia="en-US"/>
        </w:rPr>
      </w:pPr>
      <w:bookmarkStart w:id="3" w:name="_Toc1147"/>
      <w:r>
        <w:rPr>
          <w:lang w:eastAsia="en-US"/>
        </w:rPr>
        <w:t>关于“苗绣智能家居”产品的消费意向调查</w:t>
      </w:r>
      <w:bookmarkEnd w:id="3"/>
    </w:p>
    <w:p>
      <w:pPr>
        <w:widowControl/>
        <w:ind w:firstLine="0" w:firstLineChars="0"/>
        <w:jc w:val="left"/>
        <w:rPr>
          <w:rFonts w:ascii="Times New Roman" w:hAnsi="Times New Roman" w:eastAsia="Times New Roman" w:cs="Times New Roman"/>
          <w:b w:val="0"/>
          <w:color w:val="0066FF"/>
          <w:kern w:val="0"/>
          <w:sz w:val="24"/>
          <w:lang w:eastAsia="en-US"/>
        </w:rPr>
      </w:pPr>
      <w:r>
        <w:rPr>
          <w:rFonts w:hint="eastAsia" w:ascii="Times New Roman" w:hAnsi="Times New Roman" w:cs="Times New Roman"/>
          <w:b w:val="0"/>
          <w:color w:val="000000"/>
          <w:kern w:val="0"/>
          <w:sz w:val="24"/>
          <w:lang w:val="en-US" w:eastAsia="zh-CN"/>
        </w:rPr>
        <w:t>1.</w:t>
      </w:r>
      <w:r>
        <w:rPr>
          <w:rFonts w:ascii="Times New Roman" w:hAnsi="Times New Roman" w:eastAsia="Times New Roman" w:cs="Times New Roman"/>
          <w:b w:val="0"/>
          <w:color w:val="000000"/>
          <w:kern w:val="0"/>
          <w:sz w:val="24"/>
          <w:lang w:eastAsia="en-US"/>
        </w:rPr>
        <w:t xml:space="preserve">您的年龄段是？   </w:t>
      </w:r>
      <w:r>
        <w:rPr>
          <w:rFonts w:ascii="Times New Roman" w:hAnsi="Times New Roman" w:eastAsia="Times New Roman" w:cs="Times New Roman"/>
          <w:b w:val="0"/>
          <w:color w:val="0066FF"/>
          <w:kern w:val="0"/>
          <w:sz w:val="24"/>
          <w:lang w:eastAsia="en-US"/>
        </w:rPr>
        <w:t>[单选题]</w:t>
      </w:r>
    </w:p>
    <w:tbl>
      <w:tblPr>
        <w:tblStyle w:val="17"/>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983"/>
        <w:gridCol w:w="1186"/>
        <w:gridCol w:w="3685"/>
      </w:tblGrid>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选项</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小计</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比例</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A. 25岁以下</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46</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52450" cy="1143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4"/>
                          <a:stretch>
                            <a:fillRect/>
                          </a:stretch>
                        </pic:blipFill>
                        <pic:spPr>
                          <a:xfrm>
                            <a:off x="0" y="0"/>
                            <a:ext cx="552527"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800100" cy="11430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5"/>
                          <a:stretch>
                            <a:fillRect/>
                          </a:stretch>
                        </pic:blipFill>
                        <pic:spPr>
                          <a:xfrm>
                            <a:off x="0" y="0"/>
                            <a:ext cx="800212" cy="114316"/>
                          </a:xfrm>
                          <a:prstGeom prst="rect">
                            <a:avLst/>
                          </a:prstGeom>
                        </pic:spPr>
                      </pic:pic>
                    </a:graphicData>
                  </a:graphic>
                </wp:inline>
              </w:drawing>
            </w:r>
            <w:r>
              <w:rPr>
                <w:rFonts w:ascii="Times New Roman" w:hAnsi="Times New Roman" w:eastAsia="Times New Roman" w:cs="Times New Roman"/>
                <w:kern w:val="0"/>
                <w:lang w:eastAsia="en-US"/>
              </w:rPr>
              <w:t>41.44%</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B. 25-35岁</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35</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419100" cy="1143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6"/>
                          <a:stretch>
                            <a:fillRect/>
                          </a:stretch>
                        </pic:blipFill>
                        <pic:spPr>
                          <a:xfrm>
                            <a:off x="0" y="0"/>
                            <a:ext cx="419159"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933450" cy="1143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7"/>
                          <a:stretch>
                            <a:fillRect/>
                          </a:stretch>
                        </pic:blipFill>
                        <pic:spPr>
                          <a:xfrm>
                            <a:off x="0" y="0"/>
                            <a:ext cx="933580" cy="114316"/>
                          </a:xfrm>
                          <a:prstGeom prst="rect">
                            <a:avLst/>
                          </a:prstGeom>
                        </pic:spPr>
                      </pic:pic>
                    </a:graphicData>
                  </a:graphic>
                </wp:inline>
              </w:drawing>
            </w:r>
            <w:r>
              <w:rPr>
                <w:rFonts w:ascii="Times New Roman" w:hAnsi="Times New Roman" w:eastAsia="Times New Roman" w:cs="Times New Roman"/>
                <w:kern w:val="0"/>
                <w:lang w:eastAsia="en-US"/>
              </w:rPr>
              <w:t>31.53%</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C. 36-45岁</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25</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295275" cy="1143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8"/>
                          <a:stretch>
                            <a:fillRect/>
                          </a:stretch>
                        </pic:blipFill>
                        <pic:spPr>
                          <a:xfrm>
                            <a:off x="0" y="0"/>
                            <a:ext cx="295316"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057275" cy="1143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9"/>
                          <a:stretch>
                            <a:fillRect/>
                          </a:stretch>
                        </pic:blipFill>
                        <pic:spPr>
                          <a:xfrm>
                            <a:off x="0" y="0"/>
                            <a:ext cx="1057423" cy="114316"/>
                          </a:xfrm>
                          <a:prstGeom prst="rect">
                            <a:avLst/>
                          </a:prstGeom>
                        </pic:spPr>
                      </pic:pic>
                    </a:graphicData>
                  </a:graphic>
                </wp:inline>
              </w:drawing>
            </w:r>
            <w:r>
              <w:rPr>
                <w:rFonts w:ascii="Times New Roman" w:hAnsi="Times New Roman" w:eastAsia="Times New Roman" w:cs="Times New Roman"/>
                <w:kern w:val="0"/>
                <w:lang w:eastAsia="en-US"/>
              </w:rPr>
              <w:t>22.52%</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D. 46岁以上</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5</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7150" cy="1143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0"/>
                          <a:stretch>
                            <a:fillRect/>
                          </a:stretch>
                        </pic:blipFill>
                        <pic:spPr>
                          <a:xfrm>
                            <a:off x="0" y="0"/>
                            <a:ext cx="57158"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295400" cy="1143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21"/>
                          <a:stretch>
                            <a:fillRect/>
                          </a:stretch>
                        </pic:blipFill>
                        <pic:spPr>
                          <a:xfrm>
                            <a:off x="0" y="0"/>
                            <a:ext cx="1295581" cy="114316"/>
                          </a:xfrm>
                          <a:prstGeom prst="rect">
                            <a:avLst/>
                          </a:prstGeom>
                        </pic:spPr>
                      </pic:pic>
                    </a:graphicData>
                  </a:graphic>
                </wp:inline>
              </w:drawing>
            </w:r>
            <w:r>
              <w:rPr>
                <w:rFonts w:ascii="Times New Roman" w:hAnsi="Times New Roman" w:eastAsia="Times New Roman" w:cs="Times New Roman"/>
                <w:kern w:val="0"/>
                <w:lang w:eastAsia="en-US"/>
              </w:rPr>
              <w:t>4.5%</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本题有效填写人次</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111</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p>
        </w:tc>
      </w:tr>
    </w:tbl>
    <w:p>
      <w:pPr>
        <w:widowControl/>
        <w:ind w:firstLine="0" w:firstLineChars="0"/>
        <w:jc w:val="left"/>
        <w:rPr>
          <w:rFonts w:ascii="Times New Roman" w:hAnsi="Times New Roman" w:eastAsia="Times New Roman" w:cs="Times New Roman"/>
          <w:b w:val="0"/>
          <w:color w:val="000000"/>
          <w:kern w:val="0"/>
          <w:sz w:val="24"/>
          <w:lang w:eastAsia="en-US"/>
        </w:rPr>
      </w:pPr>
    </w:p>
    <w:p>
      <w:pPr>
        <w:widowControl/>
        <w:ind w:firstLine="0" w:firstLineChars="0"/>
        <w:jc w:val="left"/>
        <w:rPr>
          <w:rFonts w:ascii="Times New Roman" w:hAnsi="Times New Roman" w:eastAsia="Times New Roman" w:cs="Times New Roman"/>
          <w:b w:val="0"/>
          <w:color w:val="0066FF"/>
          <w:kern w:val="0"/>
          <w:sz w:val="24"/>
          <w:lang w:eastAsia="en-US"/>
        </w:rPr>
      </w:pPr>
      <w:r>
        <w:rPr>
          <w:rFonts w:hint="eastAsia" w:ascii="Times New Roman" w:hAnsi="Times New Roman" w:cs="Times New Roman"/>
          <w:b w:val="0"/>
          <w:color w:val="000000"/>
          <w:kern w:val="0"/>
          <w:sz w:val="24"/>
          <w:lang w:val="en-US" w:eastAsia="zh-CN"/>
        </w:rPr>
        <w:t>2.</w:t>
      </w:r>
      <w:r>
        <w:rPr>
          <w:rFonts w:ascii="Times New Roman" w:hAnsi="Times New Roman" w:eastAsia="Times New Roman" w:cs="Times New Roman"/>
          <w:b w:val="0"/>
          <w:color w:val="000000"/>
          <w:kern w:val="0"/>
          <w:sz w:val="24"/>
          <w:lang w:eastAsia="en-US"/>
        </w:rPr>
        <w:t xml:space="preserve">您对家居产品的预算和消费态度是？   </w:t>
      </w:r>
      <w:r>
        <w:rPr>
          <w:rFonts w:ascii="Times New Roman" w:hAnsi="Times New Roman" w:eastAsia="Times New Roman" w:cs="Times New Roman"/>
          <w:b w:val="0"/>
          <w:color w:val="0066FF"/>
          <w:kern w:val="0"/>
          <w:sz w:val="24"/>
          <w:lang w:eastAsia="en-US"/>
        </w:rPr>
        <w:t>[单选题]</w:t>
      </w:r>
    </w:p>
    <w:tbl>
      <w:tblPr>
        <w:tblStyle w:val="17"/>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983"/>
        <w:gridCol w:w="1186"/>
        <w:gridCol w:w="3685"/>
      </w:tblGrid>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选项</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小计</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比例</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 xml:space="preserve"> A. 追求性价比，满足基本功能即可</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43</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23875" cy="1143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22"/>
                          <a:stretch>
                            <a:fillRect/>
                          </a:stretch>
                        </pic:blipFill>
                        <pic:spPr>
                          <a:xfrm>
                            <a:off x="0" y="0"/>
                            <a:ext cx="523948"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828675" cy="11430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23"/>
                          <a:stretch>
                            <a:fillRect/>
                          </a:stretch>
                        </pic:blipFill>
                        <pic:spPr>
                          <a:xfrm>
                            <a:off x="0" y="0"/>
                            <a:ext cx="828791" cy="114316"/>
                          </a:xfrm>
                          <a:prstGeom prst="rect">
                            <a:avLst/>
                          </a:prstGeom>
                        </pic:spPr>
                      </pic:pic>
                    </a:graphicData>
                  </a:graphic>
                </wp:inline>
              </w:drawing>
            </w:r>
            <w:r>
              <w:rPr>
                <w:rFonts w:ascii="Times New Roman" w:hAnsi="Times New Roman" w:eastAsia="Times New Roman" w:cs="Times New Roman"/>
                <w:kern w:val="0"/>
                <w:lang w:eastAsia="en-US"/>
              </w:rPr>
              <w:t>38.74%</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B. 愿意为更好的设计、材质和体验支付一定溢价</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43</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23875" cy="1143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22"/>
                          <a:stretch>
                            <a:fillRect/>
                          </a:stretch>
                        </pic:blipFill>
                        <pic:spPr>
                          <a:xfrm>
                            <a:off x="0" y="0"/>
                            <a:ext cx="523948"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828675" cy="1143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23"/>
                          <a:stretch>
                            <a:fillRect/>
                          </a:stretch>
                        </pic:blipFill>
                        <pic:spPr>
                          <a:xfrm>
                            <a:off x="0" y="0"/>
                            <a:ext cx="828791" cy="114316"/>
                          </a:xfrm>
                          <a:prstGeom prst="rect">
                            <a:avLst/>
                          </a:prstGeom>
                        </pic:spPr>
                      </pic:pic>
                    </a:graphicData>
                  </a:graphic>
                </wp:inline>
              </w:drawing>
            </w:r>
            <w:r>
              <w:rPr>
                <w:rFonts w:ascii="Times New Roman" w:hAnsi="Times New Roman" w:eastAsia="Times New Roman" w:cs="Times New Roman"/>
                <w:kern w:val="0"/>
                <w:lang w:eastAsia="en-US"/>
              </w:rPr>
              <w:t>38.74%</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 xml:space="preserve"> C. 热衷高品质、有文化内涵和科技感的家居产品，价格非首要考虑因素</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25</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295275" cy="1143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8"/>
                          <a:stretch>
                            <a:fillRect/>
                          </a:stretch>
                        </pic:blipFill>
                        <pic:spPr>
                          <a:xfrm>
                            <a:off x="0" y="0"/>
                            <a:ext cx="295316"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057275" cy="1143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19"/>
                          <a:stretch>
                            <a:fillRect/>
                          </a:stretch>
                        </pic:blipFill>
                        <pic:spPr>
                          <a:xfrm>
                            <a:off x="0" y="0"/>
                            <a:ext cx="1057423" cy="114316"/>
                          </a:xfrm>
                          <a:prstGeom prst="rect">
                            <a:avLst/>
                          </a:prstGeom>
                        </pic:spPr>
                      </pic:pic>
                    </a:graphicData>
                  </a:graphic>
                </wp:inline>
              </w:drawing>
            </w:r>
            <w:r>
              <w:rPr>
                <w:rFonts w:ascii="Times New Roman" w:hAnsi="Times New Roman" w:eastAsia="Times New Roman" w:cs="Times New Roman"/>
                <w:kern w:val="0"/>
                <w:lang w:eastAsia="en-US"/>
              </w:rPr>
              <w:t>22.52%</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本题有效填写人次</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111</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p>
        </w:tc>
      </w:tr>
    </w:tbl>
    <w:p>
      <w:pPr>
        <w:widowControl/>
        <w:ind w:firstLine="0" w:firstLineChars="0"/>
        <w:jc w:val="left"/>
        <w:rPr>
          <w:rFonts w:ascii="Times New Roman" w:hAnsi="Times New Roman" w:eastAsia="Times New Roman" w:cs="Times New Roman"/>
          <w:b w:val="0"/>
          <w:color w:val="000000"/>
          <w:kern w:val="0"/>
          <w:sz w:val="24"/>
          <w:lang w:eastAsia="en-US"/>
        </w:rPr>
      </w:pPr>
    </w:p>
    <w:p>
      <w:pPr>
        <w:widowControl/>
        <w:ind w:firstLine="0" w:firstLineChars="0"/>
        <w:jc w:val="left"/>
        <w:rPr>
          <w:rFonts w:ascii="Times New Roman" w:hAnsi="Times New Roman" w:eastAsia="Times New Roman" w:cs="Times New Roman"/>
          <w:b w:val="0"/>
          <w:color w:val="0066FF"/>
          <w:kern w:val="0"/>
          <w:sz w:val="24"/>
          <w:lang w:eastAsia="en-US"/>
        </w:rPr>
      </w:pPr>
      <w:r>
        <w:rPr>
          <w:rFonts w:hint="eastAsia" w:ascii="Times New Roman" w:hAnsi="Times New Roman" w:cs="Times New Roman"/>
          <w:b w:val="0"/>
          <w:color w:val="000000"/>
          <w:kern w:val="0"/>
          <w:sz w:val="24"/>
          <w:lang w:val="en-US" w:eastAsia="zh-CN"/>
        </w:rPr>
        <w:t>3.</w:t>
      </w:r>
      <w:r>
        <w:rPr>
          <w:rFonts w:ascii="Times New Roman" w:hAnsi="Times New Roman" w:eastAsia="Times New Roman" w:cs="Times New Roman"/>
          <w:b w:val="0"/>
          <w:color w:val="000000"/>
          <w:kern w:val="0"/>
          <w:sz w:val="24"/>
          <w:lang w:eastAsia="en-US"/>
        </w:rPr>
        <w:t xml:space="preserve">在购买家居产品时，您通常更关注哪些因素？（多选）   </w:t>
      </w:r>
      <w:r>
        <w:rPr>
          <w:rFonts w:ascii="Times New Roman" w:hAnsi="Times New Roman" w:eastAsia="Times New Roman" w:cs="Times New Roman"/>
          <w:b w:val="0"/>
          <w:color w:val="0066FF"/>
          <w:kern w:val="0"/>
          <w:sz w:val="24"/>
          <w:lang w:eastAsia="en-US"/>
        </w:rPr>
        <w:t>[多选题]</w:t>
      </w:r>
    </w:p>
    <w:tbl>
      <w:tblPr>
        <w:tblStyle w:val="17"/>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983"/>
        <w:gridCol w:w="1186"/>
        <w:gridCol w:w="3685"/>
      </w:tblGrid>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选项</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小计</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比例</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A. 外观设计</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63</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762000" cy="1143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24"/>
                          <a:stretch>
                            <a:fillRect/>
                          </a:stretch>
                        </pic:blipFill>
                        <pic:spPr>
                          <a:xfrm>
                            <a:off x="0" y="0"/>
                            <a:ext cx="762106"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590550" cy="1143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25"/>
                          <a:stretch>
                            <a:fillRect/>
                          </a:stretch>
                        </pic:blipFill>
                        <pic:spPr>
                          <a:xfrm>
                            <a:off x="0" y="0"/>
                            <a:ext cx="590632" cy="114316"/>
                          </a:xfrm>
                          <a:prstGeom prst="rect">
                            <a:avLst/>
                          </a:prstGeom>
                        </pic:spPr>
                      </pic:pic>
                    </a:graphicData>
                  </a:graphic>
                </wp:inline>
              </w:drawing>
            </w:r>
            <w:r>
              <w:rPr>
                <w:rFonts w:ascii="Times New Roman" w:hAnsi="Times New Roman" w:eastAsia="Times New Roman" w:cs="Times New Roman"/>
                <w:kern w:val="0"/>
                <w:lang w:eastAsia="en-US"/>
              </w:rPr>
              <w:t>56.76%</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B. 功能实用性</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77</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933450" cy="1143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26"/>
                          <a:stretch>
                            <a:fillRect/>
                          </a:stretch>
                        </pic:blipFill>
                        <pic:spPr>
                          <a:xfrm>
                            <a:off x="0" y="0"/>
                            <a:ext cx="933580"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419100" cy="1143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27"/>
                          <a:stretch>
                            <a:fillRect/>
                          </a:stretch>
                        </pic:blipFill>
                        <pic:spPr>
                          <a:xfrm>
                            <a:off x="0" y="0"/>
                            <a:ext cx="419159" cy="114316"/>
                          </a:xfrm>
                          <a:prstGeom prst="rect">
                            <a:avLst/>
                          </a:prstGeom>
                        </pic:spPr>
                      </pic:pic>
                    </a:graphicData>
                  </a:graphic>
                </wp:inline>
              </w:drawing>
            </w:r>
            <w:r>
              <w:rPr>
                <w:rFonts w:ascii="Times New Roman" w:hAnsi="Times New Roman" w:eastAsia="Times New Roman" w:cs="Times New Roman"/>
                <w:kern w:val="0"/>
                <w:lang w:eastAsia="en-US"/>
              </w:rPr>
              <w:t>69.37%</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C. 材质环保健康</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77</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933450" cy="1143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26"/>
                          <a:stretch>
                            <a:fillRect/>
                          </a:stretch>
                        </pic:blipFill>
                        <pic:spPr>
                          <a:xfrm>
                            <a:off x="0" y="0"/>
                            <a:ext cx="933580"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419100" cy="11430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27"/>
                          <a:stretch>
                            <a:fillRect/>
                          </a:stretch>
                        </pic:blipFill>
                        <pic:spPr>
                          <a:xfrm>
                            <a:off x="0" y="0"/>
                            <a:ext cx="419159" cy="114316"/>
                          </a:xfrm>
                          <a:prstGeom prst="rect">
                            <a:avLst/>
                          </a:prstGeom>
                        </pic:spPr>
                      </pic:pic>
                    </a:graphicData>
                  </a:graphic>
                </wp:inline>
              </w:drawing>
            </w:r>
            <w:r>
              <w:rPr>
                <w:rFonts w:ascii="Times New Roman" w:hAnsi="Times New Roman" w:eastAsia="Times New Roman" w:cs="Times New Roman"/>
                <w:kern w:val="0"/>
                <w:lang w:eastAsia="en-US"/>
              </w:rPr>
              <w:t>69.37%</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D. 品牌文化故事</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43</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23875" cy="11430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22"/>
                          <a:stretch>
                            <a:fillRect/>
                          </a:stretch>
                        </pic:blipFill>
                        <pic:spPr>
                          <a:xfrm>
                            <a:off x="0" y="0"/>
                            <a:ext cx="523948"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828675" cy="114300"/>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23"/>
                          <a:stretch>
                            <a:fillRect/>
                          </a:stretch>
                        </pic:blipFill>
                        <pic:spPr>
                          <a:xfrm>
                            <a:off x="0" y="0"/>
                            <a:ext cx="828791" cy="114316"/>
                          </a:xfrm>
                          <a:prstGeom prst="rect">
                            <a:avLst/>
                          </a:prstGeom>
                        </pic:spPr>
                      </pic:pic>
                    </a:graphicData>
                  </a:graphic>
                </wp:inline>
              </w:drawing>
            </w:r>
            <w:r>
              <w:rPr>
                <w:rFonts w:ascii="Times New Roman" w:hAnsi="Times New Roman" w:eastAsia="Times New Roman" w:cs="Times New Roman"/>
                <w:kern w:val="0"/>
                <w:lang w:eastAsia="en-US"/>
              </w:rPr>
              <w:t>38.74%</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 xml:space="preserve"> E. 智能科技体验</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43</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23875" cy="1143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22"/>
                          <a:stretch>
                            <a:fillRect/>
                          </a:stretch>
                        </pic:blipFill>
                        <pic:spPr>
                          <a:xfrm>
                            <a:off x="0" y="0"/>
                            <a:ext cx="523948"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828675" cy="114300"/>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23"/>
                          <a:stretch>
                            <a:fillRect/>
                          </a:stretch>
                        </pic:blipFill>
                        <pic:spPr>
                          <a:xfrm>
                            <a:off x="0" y="0"/>
                            <a:ext cx="828791" cy="114316"/>
                          </a:xfrm>
                          <a:prstGeom prst="rect">
                            <a:avLst/>
                          </a:prstGeom>
                        </pic:spPr>
                      </pic:pic>
                    </a:graphicData>
                  </a:graphic>
                </wp:inline>
              </w:drawing>
            </w:r>
            <w:r>
              <w:rPr>
                <w:rFonts w:ascii="Times New Roman" w:hAnsi="Times New Roman" w:eastAsia="Times New Roman" w:cs="Times New Roman"/>
                <w:kern w:val="0"/>
                <w:lang w:eastAsia="en-US"/>
              </w:rPr>
              <w:t>38.74%</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 xml:space="preserve"> F. 价格</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55</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666750" cy="1143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28"/>
                          <a:stretch>
                            <a:fillRect/>
                          </a:stretch>
                        </pic:blipFill>
                        <pic:spPr>
                          <a:xfrm>
                            <a:off x="0" y="0"/>
                            <a:ext cx="666843"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685800" cy="114300"/>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29"/>
                          <a:stretch>
                            <a:fillRect/>
                          </a:stretch>
                        </pic:blipFill>
                        <pic:spPr>
                          <a:xfrm>
                            <a:off x="0" y="0"/>
                            <a:ext cx="685896" cy="114316"/>
                          </a:xfrm>
                          <a:prstGeom prst="rect">
                            <a:avLst/>
                          </a:prstGeom>
                        </pic:spPr>
                      </pic:pic>
                    </a:graphicData>
                  </a:graphic>
                </wp:inline>
              </w:drawing>
            </w:r>
            <w:r>
              <w:rPr>
                <w:rFonts w:ascii="Times New Roman" w:hAnsi="Times New Roman" w:eastAsia="Times New Roman" w:cs="Times New Roman"/>
                <w:kern w:val="0"/>
                <w:lang w:eastAsia="en-US"/>
              </w:rPr>
              <w:t>49.55%</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E. 其他</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12</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142875" cy="1143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30"/>
                          <a:stretch>
                            <a:fillRect/>
                          </a:stretch>
                        </pic:blipFill>
                        <pic:spPr>
                          <a:xfrm>
                            <a:off x="0" y="0"/>
                            <a:ext cx="142895"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209675" cy="114300"/>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31"/>
                          <a:stretch>
                            <a:fillRect/>
                          </a:stretch>
                        </pic:blipFill>
                        <pic:spPr>
                          <a:xfrm>
                            <a:off x="0" y="0"/>
                            <a:ext cx="1209844" cy="114316"/>
                          </a:xfrm>
                          <a:prstGeom prst="rect">
                            <a:avLst/>
                          </a:prstGeom>
                        </pic:spPr>
                      </pic:pic>
                    </a:graphicData>
                  </a:graphic>
                </wp:inline>
              </w:drawing>
            </w:r>
            <w:r>
              <w:rPr>
                <w:rFonts w:ascii="Times New Roman" w:hAnsi="Times New Roman" w:eastAsia="Times New Roman" w:cs="Times New Roman"/>
                <w:kern w:val="0"/>
                <w:lang w:eastAsia="en-US"/>
              </w:rPr>
              <w:t>10.81%</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342"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本题有效填写人次</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111</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p>
        </w:tc>
      </w:tr>
    </w:tbl>
    <w:p>
      <w:pPr>
        <w:widowControl/>
        <w:ind w:firstLine="0" w:firstLineChars="0"/>
        <w:jc w:val="left"/>
        <w:rPr>
          <w:rFonts w:ascii="Times New Roman" w:hAnsi="Times New Roman" w:eastAsia="Times New Roman" w:cs="Times New Roman"/>
          <w:b w:val="0"/>
          <w:color w:val="000000"/>
          <w:kern w:val="0"/>
          <w:sz w:val="24"/>
          <w:lang w:eastAsia="en-US"/>
        </w:rPr>
      </w:pPr>
    </w:p>
    <w:p>
      <w:pPr>
        <w:widowControl/>
        <w:ind w:firstLine="0" w:firstLineChars="0"/>
        <w:jc w:val="left"/>
        <w:rPr>
          <w:rFonts w:ascii="Times New Roman" w:hAnsi="Times New Roman" w:eastAsia="Times New Roman" w:cs="Times New Roman"/>
          <w:b w:val="0"/>
          <w:color w:val="0066FF"/>
          <w:kern w:val="0"/>
          <w:sz w:val="24"/>
          <w:lang w:eastAsia="en-US"/>
        </w:rPr>
      </w:pPr>
      <w:r>
        <w:rPr>
          <w:rFonts w:hint="eastAsia" w:ascii="Times New Roman" w:hAnsi="Times New Roman" w:cs="Times New Roman"/>
          <w:b w:val="0"/>
          <w:color w:val="000000"/>
          <w:kern w:val="0"/>
          <w:sz w:val="24"/>
          <w:lang w:val="en-US" w:eastAsia="zh-CN"/>
        </w:rPr>
        <w:t>4.</w:t>
      </w:r>
      <w:r>
        <w:rPr>
          <w:rFonts w:ascii="Times New Roman" w:hAnsi="Times New Roman" w:eastAsia="Times New Roman" w:cs="Times New Roman"/>
          <w:b w:val="0"/>
          <w:color w:val="000000"/>
          <w:kern w:val="0"/>
          <w:sz w:val="24"/>
          <w:lang w:eastAsia="en-US"/>
        </w:rPr>
        <w:t xml:space="preserve">您之前是否了解或购买过非物质文化遗产（非遗）相关的文创产品或衍生品？   </w:t>
      </w:r>
      <w:r>
        <w:rPr>
          <w:rFonts w:ascii="Times New Roman" w:hAnsi="Times New Roman" w:eastAsia="Times New Roman" w:cs="Times New Roman"/>
          <w:b w:val="0"/>
          <w:color w:val="0066FF"/>
          <w:kern w:val="0"/>
          <w:sz w:val="24"/>
          <w:lang w:eastAsia="en-US"/>
        </w:rPr>
        <w:t>[单选题]</w:t>
      </w:r>
    </w:p>
    <w:tbl>
      <w:tblPr>
        <w:tblStyle w:val="17"/>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983"/>
        <w:gridCol w:w="1186"/>
        <w:gridCol w:w="3685"/>
      </w:tblGrid>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选项</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小计</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比例</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A. 是，购买过</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42</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04825" cy="1143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32"/>
                          <a:stretch>
                            <a:fillRect/>
                          </a:stretch>
                        </pic:blipFill>
                        <pic:spPr>
                          <a:xfrm>
                            <a:off x="0" y="0"/>
                            <a:ext cx="504895"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847725" cy="114300"/>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33"/>
                          <a:stretch>
                            <a:fillRect/>
                          </a:stretch>
                        </pic:blipFill>
                        <pic:spPr>
                          <a:xfrm>
                            <a:off x="0" y="0"/>
                            <a:ext cx="847843" cy="114316"/>
                          </a:xfrm>
                          <a:prstGeom prst="rect">
                            <a:avLst/>
                          </a:prstGeom>
                        </pic:spPr>
                      </pic:pic>
                    </a:graphicData>
                  </a:graphic>
                </wp:inline>
              </w:drawing>
            </w:r>
            <w:r>
              <w:rPr>
                <w:rFonts w:ascii="Times New Roman" w:hAnsi="Times New Roman" w:eastAsia="Times New Roman" w:cs="Times New Roman"/>
                <w:kern w:val="0"/>
                <w:lang w:eastAsia="en-US"/>
              </w:rPr>
              <w:t>37.84%</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B. 知道，但没买过</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42</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04825" cy="1143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32"/>
                          <a:stretch>
                            <a:fillRect/>
                          </a:stretch>
                        </pic:blipFill>
                        <pic:spPr>
                          <a:xfrm>
                            <a:off x="0" y="0"/>
                            <a:ext cx="504895"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847725" cy="114300"/>
                  <wp:effectExtent l="0" t="0" r="0"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33"/>
                          <a:stretch>
                            <a:fillRect/>
                          </a:stretch>
                        </pic:blipFill>
                        <pic:spPr>
                          <a:xfrm>
                            <a:off x="0" y="0"/>
                            <a:ext cx="847843" cy="114316"/>
                          </a:xfrm>
                          <a:prstGeom prst="rect">
                            <a:avLst/>
                          </a:prstGeom>
                        </pic:spPr>
                      </pic:pic>
                    </a:graphicData>
                  </a:graphic>
                </wp:inline>
              </w:drawing>
            </w:r>
            <w:r>
              <w:rPr>
                <w:rFonts w:ascii="Times New Roman" w:hAnsi="Times New Roman" w:eastAsia="Times New Roman" w:cs="Times New Roman"/>
                <w:kern w:val="0"/>
                <w:lang w:eastAsia="en-US"/>
              </w:rPr>
              <w:t>37.84%</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C. 完全不了解</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27</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323850" cy="1143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34"/>
                          <a:stretch>
                            <a:fillRect/>
                          </a:stretch>
                        </pic:blipFill>
                        <pic:spPr>
                          <a:xfrm>
                            <a:off x="0" y="0"/>
                            <a:ext cx="323895"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028700" cy="114300"/>
                  <wp:effectExtent l="0" t="0" r="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35"/>
                          <a:stretch>
                            <a:fillRect/>
                          </a:stretch>
                        </pic:blipFill>
                        <pic:spPr>
                          <a:xfrm>
                            <a:off x="0" y="0"/>
                            <a:ext cx="1028844" cy="114316"/>
                          </a:xfrm>
                          <a:prstGeom prst="rect">
                            <a:avLst/>
                          </a:prstGeom>
                        </pic:spPr>
                      </pic:pic>
                    </a:graphicData>
                  </a:graphic>
                </wp:inline>
              </w:drawing>
            </w:r>
            <w:r>
              <w:rPr>
                <w:rFonts w:ascii="Times New Roman" w:hAnsi="Times New Roman" w:eastAsia="Times New Roman" w:cs="Times New Roman"/>
                <w:kern w:val="0"/>
                <w:lang w:eastAsia="en-US"/>
              </w:rPr>
              <w:t>24.32%</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本题有效填写人次</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111</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p>
        </w:tc>
      </w:tr>
    </w:tbl>
    <w:p>
      <w:pPr>
        <w:widowControl/>
        <w:ind w:firstLine="0" w:firstLineChars="0"/>
        <w:jc w:val="left"/>
        <w:rPr>
          <w:rFonts w:ascii="Times New Roman" w:hAnsi="Times New Roman" w:eastAsia="Times New Roman" w:cs="Times New Roman"/>
          <w:b w:val="0"/>
          <w:color w:val="000000"/>
          <w:kern w:val="0"/>
          <w:sz w:val="24"/>
          <w:lang w:eastAsia="en-US"/>
        </w:rPr>
      </w:pPr>
    </w:p>
    <w:p>
      <w:pPr>
        <w:widowControl/>
        <w:ind w:firstLine="0" w:firstLineChars="0"/>
        <w:jc w:val="left"/>
        <w:rPr>
          <w:rFonts w:ascii="Times New Roman" w:hAnsi="Times New Roman" w:eastAsia="Times New Roman" w:cs="Times New Roman"/>
          <w:b w:val="0"/>
          <w:color w:val="0066FF"/>
          <w:kern w:val="0"/>
          <w:sz w:val="24"/>
          <w:lang w:eastAsia="en-US"/>
        </w:rPr>
      </w:pPr>
      <w:r>
        <w:rPr>
          <w:rFonts w:hint="eastAsia" w:ascii="Times New Roman" w:hAnsi="Times New Roman" w:cs="Times New Roman"/>
          <w:b w:val="0"/>
          <w:color w:val="000000"/>
          <w:kern w:val="0"/>
          <w:sz w:val="24"/>
          <w:lang w:val="en-US" w:eastAsia="zh-CN"/>
        </w:rPr>
        <w:t>5.</w:t>
      </w:r>
      <w:r>
        <w:rPr>
          <w:rFonts w:ascii="Times New Roman" w:hAnsi="Times New Roman" w:eastAsia="Times New Roman" w:cs="Times New Roman"/>
          <w:b w:val="0"/>
          <w:color w:val="000000"/>
          <w:kern w:val="0"/>
          <w:sz w:val="24"/>
          <w:lang w:eastAsia="en-US"/>
        </w:rPr>
        <w:t xml:space="preserve">请看以下产品概念图，一款融合了传统苗绣纹样、具备AR故事互动和智能温控功能的壁饰/床品。您的购买意愿是？   </w:t>
      </w:r>
      <w:r>
        <w:rPr>
          <w:rFonts w:ascii="Times New Roman" w:hAnsi="Times New Roman" w:eastAsia="Times New Roman" w:cs="Times New Roman"/>
          <w:b w:val="0"/>
          <w:color w:val="0066FF"/>
          <w:kern w:val="0"/>
          <w:sz w:val="24"/>
          <w:lang w:eastAsia="en-US"/>
        </w:rPr>
        <w:t>[单选题]</w:t>
      </w:r>
    </w:p>
    <w:tbl>
      <w:tblPr>
        <w:tblStyle w:val="17"/>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983"/>
        <w:gridCol w:w="1186"/>
        <w:gridCol w:w="3685"/>
      </w:tblGrid>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选项</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小计</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比例</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A. 非常感兴趣，愿意立即购买</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23</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276225" cy="1143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36"/>
                          <a:stretch>
                            <a:fillRect/>
                          </a:stretch>
                        </pic:blipFill>
                        <pic:spPr>
                          <a:xfrm>
                            <a:off x="0" y="0"/>
                            <a:ext cx="276264"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076325" cy="114300"/>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37"/>
                          <a:stretch>
                            <a:fillRect/>
                          </a:stretch>
                        </pic:blipFill>
                        <pic:spPr>
                          <a:xfrm>
                            <a:off x="0" y="0"/>
                            <a:ext cx="1076475" cy="114316"/>
                          </a:xfrm>
                          <a:prstGeom prst="rect">
                            <a:avLst/>
                          </a:prstGeom>
                        </pic:spPr>
                      </pic:pic>
                    </a:graphicData>
                  </a:graphic>
                </wp:inline>
              </w:drawing>
            </w:r>
            <w:r>
              <w:rPr>
                <w:rFonts w:ascii="Times New Roman" w:hAnsi="Times New Roman" w:eastAsia="Times New Roman" w:cs="Times New Roman"/>
                <w:kern w:val="0"/>
                <w:lang w:eastAsia="en-US"/>
              </w:rPr>
              <w:t>20.72%</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B. 比较感兴趣，可能会购买</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52</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628650" cy="1143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38"/>
                          <a:stretch>
                            <a:fillRect/>
                          </a:stretch>
                        </pic:blipFill>
                        <pic:spPr>
                          <a:xfrm>
                            <a:off x="0" y="0"/>
                            <a:ext cx="628738"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723900" cy="114300"/>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39"/>
                          <a:stretch>
                            <a:fillRect/>
                          </a:stretch>
                        </pic:blipFill>
                        <pic:spPr>
                          <a:xfrm>
                            <a:off x="0" y="0"/>
                            <a:ext cx="724001" cy="114316"/>
                          </a:xfrm>
                          <a:prstGeom prst="rect">
                            <a:avLst/>
                          </a:prstGeom>
                        </pic:spPr>
                      </pic:pic>
                    </a:graphicData>
                  </a:graphic>
                </wp:inline>
              </w:drawing>
            </w:r>
            <w:r>
              <w:rPr>
                <w:rFonts w:ascii="Times New Roman" w:hAnsi="Times New Roman" w:eastAsia="Times New Roman" w:cs="Times New Roman"/>
                <w:kern w:val="0"/>
                <w:lang w:eastAsia="en-US"/>
              </w:rPr>
              <w:t>46.85%</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C. 一般，观望态度</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29</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352425" cy="1143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40"/>
                          <a:stretch>
                            <a:fillRect/>
                          </a:stretch>
                        </pic:blipFill>
                        <pic:spPr>
                          <a:xfrm>
                            <a:off x="0" y="0"/>
                            <a:ext cx="352474"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000125" cy="114300"/>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41"/>
                          <a:stretch>
                            <a:fillRect/>
                          </a:stretch>
                        </pic:blipFill>
                        <pic:spPr>
                          <a:xfrm>
                            <a:off x="0" y="0"/>
                            <a:ext cx="1000265" cy="114316"/>
                          </a:xfrm>
                          <a:prstGeom prst="rect">
                            <a:avLst/>
                          </a:prstGeom>
                        </pic:spPr>
                      </pic:pic>
                    </a:graphicData>
                  </a:graphic>
                </wp:inline>
              </w:drawing>
            </w:r>
            <w:r>
              <w:rPr>
                <w:rFonts w:ascii="Times New Roman" w:hAnsi="Times New Roman" w:eastAsia="Times New Roman" w:cs="Times New Roman"/>
                <w:kern w:val="0"/>
                <w:lang w:eastAsia="en-US"/>
              </w:rPr>
              <w:t>26.13%</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D. 不感兴趣</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7</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76200" cy="11430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42"/>
                          <a:stretch>
                            <a:fillRect/>
                          </a:stretch>
                        </pic:blipFill>
                        <pic:spPr>
                          <a:xfrm>
                            <a:off x="0" y="0"/>
                            <a:ext cx="76211"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276350" cy="114300"/>
                  <wp:effectExtent l="0" t="0" r="0"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43"/>
                          <a:stretch>
                            <a:fillRect/>
                          </a:stretch>
                        </pic:blipFill>
                        <pic:spPr>
                          <a:xfrm>
                            <a:off x="0" y="0"/>
                            <a:ext cx="1276528" cy="114316"/>
                          </a:xfrm>
                          <a:prstGeom prst="rect">
                            <a:avLst/>
                          </a:prstGeom>
                        </pic:spPr>
                      </pic:pic>
                    </a:graphicData>
                  </a:graphic>
                </wp:inline>
              </w:drawing>
            </w:r>
            <w:r>
              <w:rPr>
                <w:rFonts w:ascii="Times New Roman" w:hAnsi="Times New Roman" w:eastAsia="Times New Roman" w:cs="Times New Roman"/>
                <w:kern w:val="0"/>
                <w:lang w:eastAsia="en-US"/>
              </w:rPr>
              <w:t>6.31%</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本题有效填写人次</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111</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p>
        </w:tc>
      </w:tr>
    </w:tbl>
    <w:p>
      <w:pPr>
        <w:widowControl/>
        <w:ind w:firstLine="0" w:firstLineChars="0"/>
        <w:jc w:val="left"/>
        <w:rPr>
          <w:rFonts w:ascii="Times New Roman" w:hAnsi="Times New Roman" w:eastAsia="Times New Roman" w:cs="Times New Roman"/>
          <w:b w:val="0"/>
          <w:color w:val="000000"/>
          <w:kern w:val="0"/>
          <w:sz w:val="24"/>
          <w:lang w:eastAsia="en-US"/>
        </w:rPr>
      </w:pPr>
    </w:p>
    <w:p>
      <w:pPr>
        <w:widowControl/>
        <w:ind w:firstLine="0" w:firstLineChars="0"/>
        <w:jc w:val="left"/>
        <w:rPr>
          <w:rFonts w:ascii="Times New Roman" w:hAnsi="Times New Roman" w:eastAsia="Times New Roman" w:cs="Times New Roman"/>
          <w:b w:val="0"/>
          <w:color w:val="0066FF"/>
          <w:kern w:val="0"/>
          <w:sz w:val="24"/>
          <w:lang w:eastAsia="en-US"/>
        </w:rPr>
      </w:pPr>
      <w:r>
        <w:rPr>
          <w:rFonts w:hint="eastAsia" w:ascii="Times New Roman" w:hAnsi="Times New Roman" w:cs="Times New Roman"/>
          <w:b w:val="0"/>
          <w:color w:val="000000"/>
          <w:kern w:val="0"/>
          <w:sz w:val="24"/>
          <w:lang w:val="en-US" w:eastAsia="zh-CN"/>
        </w:rPr>
        <w:t>6.</w:t>
      </w:r>
      <w:r>
        <w:rPr>
          <w:rFonts w:ascii="Times New Roman" w:hAnsi="Times New Roman" w:eastAsia="Times New Roman" w:cs="Times New Roman"/>
          <w:b w:val="0"/>
          <w:color w:val="000000"/>
          <w:kern w:val="0"/>
          <w:sz w:val="24"/>
          <w:lang w:eastAsia="en-US"/>
        </w:rPr>
        <w:t xml:space="preserve">如果上述产品比同类普通家居产品价格高，您能接受的溢价范围是？   </w:t>
      </w:r>
      <w:r>
        <w:rPr>
          <w:rFonts w:ascii="Times New Roman" w:hAnsi="Times New Roman" w:eastAsia="Times New Roman" w:cs="Times New Roman"/>
          <w:b w:val="0"/>
          <w:color w:val="0066FF"/>
          <w:kern w:val="0"/>
          <w:sz w:val="24"/>
          <w:lang w:eastAsia="en-US"/>
        </w:rPr>
        <w:t>[单选题]</w:t>
      </w:r>
    </w:p>
    <w:tbl>
      <w:tblPr>
        <w:tblStyle w:val="17"/>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983"/>
        <w:gridCol w:w="1186"/>
        <w:gridCol w:w="3685"/>
      </w:tblGrid>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选项</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小计</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比例</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A. 10%-30%</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52</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628650" cy="114300"/>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38"/>
                          <a:stretch>
                            <a:fillRect/>
                          </a:stretch>
                        </pic:blipFill>
                        <pic:spPr>
                          <a:xfrm>
                            <a:off x="0" y="0"/>
                            <a:ext cx="628738"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723900" cy="114300"/>
                  <wp:effectExtent l="0" t="0" r="0"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39"/>
                          <a:stretch>
                            <a:fillRect/>
                          </a:stretch>
                        </pic:blipFill>
                        <pic:spPr>
                          <a:xfrm>
                            <a:off x="0" y="0"/>
                            <a:ext cx="724001" cy="114316"/>
                          </a:xfrm>
                          <a:prstGeom prst="rect">
                            <a:avLst/>
                          </a:prstGeom>
                        </pic:spPr>
                      </pic:pic>
                    </a:graphicData>
                  </a:graphic>
                </wp:inline>
              </w:drawing>
            </w:r>
            <w:r>
              <w:rPr>
                <w:rFonts w:ascii="Times New Roman" w:hAnsi="Times New Roman" w:eastAsia="Times New Roman" w:cs="Times New Roman"/>
                <w:kern w:val="0"/>
                <w:lang w:eastAsia="en-US"/>
              </w:rPr>
              <w:t>46.85%</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B. 30%-50%</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37</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447675" cy="114300"/>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44"/>
                          <a:stretch>
                            <a:fillRect/>
                          </a:stretch>
                        </pic:blipFill>
                        <pic:spPr>
                          <a:xfrm>
                            <a:off x="0" y="0"/>
                            <a:ext cx="447737"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904875" cy="114300"/>
                  <wp:effectExtent l="0" t="0" r="0"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45"/>
                          <a:stretch>
                            <a:fillRect/>
                          </a:stretch>
                        </pic:blipFill>
                        <pic:spPr>
                          <a:xfrm>
                            <a:off x="0" y="0"/>
                            <a:ext cx="905001" cy="114316"/>
                          </a:xfrm>
                          <a:prstGeom prst="rect">
                            <a:avLst/>
                          </a:prstGeom>
                        </pic:spPr>
                      </pic:pic>
                    </a:graphicData>
                  </a:graphic>
                </wp:inline>
              </w:drawing>
            </w:r>
            <w:r>
              <w:rPr>
                <w:rFonts w:ascii="Times New Roman" w:hAnsi="Times New Roman" w:eastAsia="Times New Roman" w:cs="Times New Roman"/>
                <w:kern w:val="0"/>
                <w:lang w:eastAsia="en-US"/>
              </w:rPr>
              <w:t>33.33%</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C. 50%-100%</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8</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95250" cy="114300"/>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46"/>
                          <a:stretch>
                            <a:fillRect/>
                          </a:stretch>
                        </pic:blipFill>
                        <pic:spPr>
                          <a:xfrm>
                            <a:off x="0" y="0"/>
                            <a:ext cx="95263"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257300" cy="114300"/>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47"/>
                          <a:stretch>
                            <a:fillRect/>
                          </a:stretch>
                        </pic:blipFill>
                        <pic:spPr>
                          <a:xfrm>
                            <a:off x="0" y="0"/>
                            <a:ext cx="1257476" cy="114316"/>
                          </a:xfrm>
                          <a:prstGeom prst="rect">
                            <a:avLst/>
                          </a:prstGeom>
                        </pic:spPr>
                      </pic:pic>
                    </a:graphicData>
                  </a:graphic>
                </wp:inline>
              </w:drawing>
            </w:r>
            <w:r>
              <w:rPr>
                <w:rFonts w:ascii="Times New Roman" w:hAnsi="Times New Roman" w:eastAsia="Times New Roman" w:cs="Times New Roman"/>
                <w:kern w:val="0"/>
                <w:lang w:eastAsia="en-US"/>
              </w:rPr>
              <w:t>7.21%</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D. 100%以上</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0</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1352550" cy="114300"/>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48"/>
                          <a:stretch>
                            <a:fillRect/>
                          </a:stretch>
                        </pic:blipFill>
                        <pic:spPr>
                          <a:xfrm>
                            <a:off x="0" y="0"/>
                            <a:ext cx="1352739" cy="114316"/>
                          </a:xfrm>
                          <a:prstGeom prst="rect">
                            <a:avLst/>
                          </a:prstGeom>
                        </pic:spPr>
                      </pic:pic>
                    </a:graphicData>
                  </a:graphic>
                </wp:inline>
              </w:drawing>
            </w:r>
            <w:r>
              <w:rPr>
                <w:rFonts w:ascii="Times New Roman" w:hAnsi="Times New Roman" w:eastAsia="Times New Roman" w:cs="Times New Roman"/>
                <w:kern w:val="0"/>
                <w:lang w:eastAsia="en-US"/>
              </w:rPr>
              <w:t>0%</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E. 不愿支付任何溢价</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14</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161925" cy="114300"/>
                  <wp:effectExtent l="0" t="0" r="0"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49"/>
                          <a:stretch>
                            <a:fillRect/>
                          </a:stretch>
                        </pic:blipFill>
                        <pic:spPr>
                          <a:xfrm>
                            <a:off x="0" y="0"/>
                            <a:ext cx="161948"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190625" cy="114300"/>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50"/>
                          <a:stretch>
                            <a:fillRect/>
                          </a:stretch>
                        </pic:blipFill>
                        <pic:spPr>
                          <a:xfrm>
                            <a:off x="0" y="0"/>
                            <a:ext cx="1190791" cy="114316"/>
                          </a:xfrm>
                          <a:prstGeom prst="rect">
                            <a:avLst/>
                          </a:prstGeom>
                        </pic:spPr>
                      </pic:pic>
                    </a:graphicData>
                  </a:graphic>
                </wp:inline>
              </w:drawing>
            </w:r>
            <w:r>
              <w:rPr>
                <w:rFonts w:ascii="Times New Roman" w:hAnsi="Times New Roman" w:eastAsia="Times New Roman" w:cs="Times New Roman"/>
                <w:kern w:val="0"/>
                <w:lang w:eastAsia="en-US"/>
              </w:rPr>
              <w:t>12.61%</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本题有效填写人次</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111</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p>
        </w:tc>
      </w:tr>
    </w:tbl>
    <w:p>
      <w:pPr>
        <w:widowControl/>
        <w:ind w:firstLine="0" w:firstLineChars="0"/>
        <w:jc w:val="left"/>
        <w:rPr>
          <w:rFonts w:ascii="Times New Roman" w:hAnsi="Times New Roman" w:eastAsia="Times New Roman" w:cs="Times New Roman"/>
          <w:b w:val="0"/>
          <w:color w:val="000000"/>
          <w:kern w:val="0"/>
          <w:sz w:val="24"/>
          <w:lang w:eastAsia="en-US"/>
        </w:rPr>
      </w:pPr>
    </w:p>
    <w:p>
      <w:pPr>
        <w:widowControl/>
        <w:ind w:firstLine="0" w:firstLineChars="0"/>
        <w:jc w:val="left"/>
        <w:rPr>
          <w:rFonts w:ascii="Times New Roman" w:hAnsi="Times New Roman" w:eastAsia="Times New Roman" w:cs="Times New Roman"/>
          <w:b w:val="0"/>
          <w:color w:val="0066FF"/>
          <w:kern w:val="0"/>
          <w:sz w:val="24"/>
          <w:lang w:eastAsia="en-US"/>
        </w:rPr>
      </w:pPr>
      <w:r>
        <w:rPr>
          <w:rFonts w:hint="eastAsia" w:ascii="Times New Roman" w:hAnsi="Times New Roman" w:cs="Times New Roman"/>
          <w:b w:val="0"/>
          <w:color w:val="000000"/>
          <w:kern w:val="0"/>
          <w:sz w:val="24"/>
          <w:lang w:val="en-US" w:eastAsia="zh-CN"/>
        </w:rPr>
        <w:t>7.</w:t>
      </w:r>
      <w:r>
        <w:rPr>
          <w:rFonts w:ascii="Times New Roman" w:hAnsi="Times New Roman" w:eastAsia="Times New Roman" w:cs="Times New Roman"/>
          <w:b w:val="0"/>
          <w:color w:val="000000"/>
          <w:kern w:val="0"/>
          <w:sz w:val="24"/>
          <w:lang w:eastAsia="en-US"/>
        </w:rPr>
        <w:t xml:space="preserve">最能吸引您购买这款产品的原因是？（多选）   </w:t>
      </w:r>
      <w:r>
        <w:rPr>
          <w:rFonts w:ascii="Times New Roman" w:hAnsi="Times New Roman" w:eastAsia="Times New Roman" w:cs="Times New Roman"/>
          <w:b w:val="0"/>
          <w:color w:val="0066FF"/>
          <w:kern w:val="0"/>
          <w:sz w:val="24"/>
          <w:lang w:eastAsia="en-US"/>
        </w:rPr>
        <w:t>[多选题]</w:t>
      </w:r>
    </w:p>
    <w:tbl>
      <w:tblPr>
        <w:tblStyle w:val="17"/>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983"/>
        <w:gridCol w:w="1186"/>
        <w:gridCol w:w="3685"/>
      </w:tblGrid>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选项</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小计</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比例</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A. 独特的文化审美和艺术价值</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63</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762000" cy="114300"/>
                  <wp:effectExtent l="0" t="0" r="0"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24"/>
                          <a:stretch>
                            <a:fillRect/>
                          </a:stretch>
                        </pic:blipFill>
                        <pic:spPr>
                          <a:xfrm>
                            <a:off x="0" y="0"/>
                            <a:ext cx="762106"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590550" cy="114300"/>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25"/>
                          <a:stretch>
                            <a:fillRect/>
                          </a:stretch>
                        </pic:blipFill>
                        <pic:spPr>
                          <a:xfrm>
                            <a:off x="0" y="0"/>
                            <a:ext cx="590632" cy="114316"/>
                          </a:xfrm>
                          <a:prstGeom prst="rect">
                            <a:avLst/>
                          </a:prstGeom>
                        </pic:spPr>
                      </pic:pic>
                    </a:graphicData>
                  </a:graphic>
                </wp:inline>
              </w:drawing>
            </w:r>
            <w:r>
              <w:rPr>
                <w:rFonts w:ascii="Times New Roman" w:hAnsi="Times New Roman" w:eastAsia="Times New Roman" w:cs="Times New Roman"/>
                <w:kern w:val="0"/>
                <w:lang w:eastAsia="en-US"/>
              </w:rPr>
              <w:t>56.76%</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B. 有趣的AR交互体验和文化故事</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56</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676275" cy="114300"/>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51"/>
                          <a:stretch>
                            <a:fillRect/>
                          </a:stretch>
                        </pic:blipFill>
                        <pic:spPr>
                          <a:xfrm>
                            <a:off x="0" y="0"/>
                            <a:ext cx="676369"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676275" cy="114300"/>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52"/>
                          <a:stretch>
                            <a:fillRect/>
                          </a:stretch>
                        </pic:blipFill>
                        <pic:spPr>
                          <a:xfrm>
                            <a:off x="0" y="0"/>
                            <a:ext cx="676369" cy="114316"/>
                          </a:xfrm>
                          <a:prstGeom prst="rect">
                            <a:avLst/>
                          </a:prstGeom>
                        </pic:spPr>
                      </pic:pic>
                    </a:graphicData>
                  </a:graphic>
                </wp:inline>
              </w:drawing>
            </w:r>
            <w:r>
              <w:rPr>
                <w:rFonts w:ascii="Times New Roman" w:hAnsi="Times New Roman" w:eastAsia="Times New Roman" w:cs="Times New Roman"/>
                <w:kern w:val="0"/>
                <w:lang w:eastAsia="en-US"/>
              </w:rPr>
              <w:t>50.45%</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C. 智能温控等实用功能</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57</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685800" cy="114300"/>
                  <wp:effectExtent l="0" t="0" r="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53"/>
                          <a:stretch>
                            <a:fillRect/>
                          </a:stretch>
                        </pic:blipFill>
                        <pic:spPr>
                          <a:xfrm>
                            <a:off x="0" y="0"/>
                            <a:ext cx="685896"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666750" cy="11430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54"/>
                          <a:stretch>
                            <a:fillRect/>
                          </a:stretch>
                        </pic:blipFill>
                        <pic:spPr>
                          <a:xfrm>
                            <a:off x="0" y="0"/>
                            <a:ext cx="666843" cy="114316"/>
                          </a:xfrm>
                          <a:prstGeom prst="rect">
                            <a:avLst/>
                          </a:prstGeom>
                        </pic:spPr>
                      </pic:pic>
                    </a:graphicData>
                  </a:graphic>
                </wp:inline>
              </w:drawing>
            </w:r>
            <w:r>
              <w:rPr>
                <w:rFonts w:ascii="Times New Roman" w:hAnsi="Times New Roman" w:eastAsia="Times New Roman" w:cs="Times New Roman"/>
                <w:kern w:val="0"/>
                <w:lang w:eastAsia="en-US"/>
              </w:rPr>
              <w:t>51.35%</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D. 环保健康的竹纤维材质</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60</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723900" cy="114300"/>
                  <wp:effectExtent l="0" t="0" r="0" b="0"/>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r:embed="rId55"/>
                          <a:stretch>
                            <a:fillRect/>
                          </a:stretch>
                        </pic:blipFill>
                        <pic:spPr>
                          <a:xfrm>
                            <a:off x="0" y="0"/>
                            <a:ext cx="724001"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628650" cy="114300"/>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56"/>
                          <a:stretch>
                            <a:fillRect/>
                          </a:stretch>
                        </pic:blipFill>
                        <pic:spPr>
                          <a:xfrm>
                            <a:off x="0" y="0"/>
                            <a:ext cx="628738" cy="114316"/>
                          </a:xfrm>
                          <a:prstGeom prst="rect">
                            <a:avLst/>
                          </a:prstGeom>
                        </pic:spPr>
                      </pic:pic>
                    </a:graphicData>
                  </a:graphic>
                </wp:inline>
              </w:drawing>
            </w:r>
            <w:r>
              <w:rPr>
                <w:rFonts w:ascii="Times New Roman" w:hAnsi="Times New Roman" w:eastAsia="Times New Roman" w:cs="Times New Roman"/>
                <w:kern w:val="0"/>
                <w:lang w:eastAsia="en-US"/>
              </w:rPr>
              <w:t>54.05%</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E. 支持非遗传承和乡村振兴的社会意义</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45</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42925" cy="114300"/>
                  <wp:effectExtent l="0" t="0" r="0" b="0"/>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pic:cNvPicPr>
                            <a:picLocks noChangeAspect="1"/>
                          </pic:cNvPicPr>
                        </pic:nvPicPr>
                        <pic:blipFill>
                          <a:blip r:embed="rId57"/>
                          <a:stretch>
                            <a:fillRect/>
                          </a:stretch>
                        </pic:blipFill>
                        <pic:spPr>
                          <a:xfrm>
                            <a:off x="0" y="0"/>
                            <a:ext cx="543001"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809625" cy="114300"/>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58"/>
                          <a:stretch>
                            <a:fillRect/>
                          </a:stretch>
                        </pic:blipFill>
                        <pic:spPr>
                          <a:xfrm>
                            <a:off x="0" y="0"/>
                            <a:ext cx="809738" cy="114316"/>
                          </a:xfrm>
                          <a:prstGeom prst="rect">
                            <a:avLst/>
                          </a:prstGeom>
                        </pic:spPr>
                      </pic:pic>
                    </a:graphicData>
                  </a:graphic>
                </wp:inline>
              </w:drawing>
            </w:r>
            <w:r>
              <w:rPr>
                <w:rFonts w:ascii="Times New Roman" w:hAnsi="Times New Roman" w:eastAsia="Times New Roman" w:cs="Times New Roman"/>
                <w:kern w:val="0"/>
                <w:lang w:eastAsia="en-US"/>
              </w:rPr>
              <w:t>40.54%</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本题有效填写人次</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111</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p>
        </w:tc>
      </w:tr>
    </w:tbl>
    <w:p>
      <w:pPr>
        <w:widowControl/>
        <w:ind w:firstLine="0" w:firstLineChars="0"/>
        <w:jc w:val="left"/>
        <w:rPr>
          <w:rFonts w:ascii="Times New Roman" w:hAnsi="Times New Roman" w:eastAsia="Times New Roman" w:cs="Times New Roman"/>
          <w:b w:val="0"/>
          <w:color w:val="000000"/>
          <w:kern w:val="0"/>
          <w:sz w:val="24"/>
          <w:lang w:eastAsia="en-US"/>
        </w:rPr>
      </w:pPr>
    </w:p>
    <w:p>
      <w:pPr>
        <w:widowControl/>
        <w:ind w:firstLine="0" w:firstLineChars="0"/>
        <w:jc w:val="left"/>
        <w:rPr>
          <w:rFonts w:ascii="Times New Roman" w:hAnsi="Times New Roman" w:eastAsia="Times New Roman" w:cs="Times New Roman"/>
          <w:b w:val="0"/>
          <w:color w:val="0066FF"/>
          <w:kern w:val="0"/>
          <w:sz w:val="24"/>
          <w:lang w:eastAsia="en-US"/>
        </w:rPr>
      </w:pPr>
      <w:r>
        <w:rPr>
          <w:rFonts w:hint="eastAsia" w:ascii="Times New Roman" w:hAnsi="Times New Roman" w:cs="Times New Roman"/>
          <w:b w:val="0"/>
          <w:color w:val="000000"/>
          <w:kern w:val="0"/>
          <w:sz w:val="24"/>
          <w:lang w:val="en-US" w:eastAsia="zh-CN"/>
        </w:rPr>
        <w:t>8.</w:t>
      </w:r>
      <w:r>
        <w:rPr>
          <w:rFonts w:ascii="Times New Roman" w:hAnsi="Times New Roman" w:eastAsia="Times New Roman" w:cs="Times New Roman"/>
          <w:b w:val="0"/>
          <w:color w:val="000000"/>
          <w:kern w:val="0"/>
          <w:sz w:val="24"/>
          <w:lang w:eastAsia="en-US"/>
        </w:rPr>
        <w:t xml:space="preserve">您希望在哪些场景看到或体验到这款产品？（多选）   </w:t>
      </w:r>
      <w:r>
        <w:rPr>
          <w:rFonts w:ascii="Times New Roman" w:hAnsi="Times New Roman" w:eastAsia="Times New Roman" w:cs="Times New Roman"/>
          <w:b w:val="0"/>
          <w:color w:val="0066FF"/>
          <w:kern w:val="0"/>
          <w:sz w:val="24"/>
          <w:lang w:eastAsia="en-US"/>
        </w:rPr>
        <w:t>[多选题]</w:t>
      </w:r>
    </w:p>
    <w:tbl>
      <w:tblPr>
        <w:tblStyle w:val="17"/>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983"/>
        <w:gridCol w:w="1186"/>
        <w:gridCol w:w="3685"/>
      </w:tblGrid>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选项</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小计</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比例</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A. 高端民宿/酒店</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72</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876300" cy="114300"/>
                  <wp:effectExtent l="0" t="0" r="0" b="0"/>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图片 100062"/>
                          <pic:cNvPicPr>
                            <a:picLocks noChangeAspect="1"/>
                          </pic:cNvPicPr>
                        </pic:nvPicPr>
                        <pic:blipFill>
                          <a:blip r:embed="rId59"/>
                          <a:stretch>
                            <a:fillRect/>
                          </a:stretch>
                        </pic:blipFill>
                        <pic:spPr>
                          <a:xfrm>
                            <a:off x="0" y="0"/>
                            <a:ext cx="876422"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476250" cy="114300"/>
                  <wp:effectExtent l="0" t="0" r="0"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60"/>
                          <a:stretch>
                            <a:fillRect/>
                          </a:stretch>
                        </pic:blipFill>
                        <pic:spPr>
                          <a:xfrm>
                            <a:off x="0" y="0"/>
                            <a:ext cx="476316" cy="114316"/>
                          </a:xfrm>
                          <a:prstGeom prst="rect">
                            <a:avLst/>
                          </a:prstGeom>
                        </pic:spPr>
                      </pic:pic>
                    </a:graphicData>
                  </a:graphic>
                </wp:inline>
              </w:drawing>
            </w:r>
            <w:r>
              <w:rPr>
                <w:rFonts w:ascii="Times New Roman" w:hAnsi="Times New Roman" w:eastAsia="Times New Roman" w:cs="Times New Roman"/>
                <w:kern w:val="0"/>
                <w:lang w:eastAsia="en-US"/>
              </w:rPr>
              <w:t>64.86%</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B. 博物馆/文化景区商店</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62</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752475" cy="114300"/>
                  <wp:effectExtent l="0" t="0" r="0" b="0"/>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61"/>
                          <a:stretch>
                            <a:fillRect/>
                          </a:stretch>
                        </pic:blipFill>
                        <pic:spPr>
                          <a:xfrm>
                            <a:off x="0" y="0"/>
                            <a:ext cx="752580"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600075" cy="114300"/>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62"/>
                          <a:stretch>
                            <a:fillRect/>
                          </a:stretch>
                        </pic:blipFill>
                        <pic:spPr>
                          <a:xfrm>
                            <a:off x="0" y="0"/>
                            <a:ext cx="600159" cy="114316"/>
                          </a:xfrm>
                          <a:prstGeom prst="rect">
                            <a:avLst/>
                          </a:prstGeom>
                        </pic:spPr>
                      </pic:pic>
                    </a:graphicData>
                  </a:graphic>
                </wp:inline>
              </w:drawing>
            </w:r>
            <w:r>
              <w:rPr>
                <w:rFonts w:ascii="Times New Roman" w:hAnsi="Times New Roman" w:eastAsia="Times New Roman" w:cs="Times New Roman"/>
                <w:kern w:val="0"/>
                <w:lang w:eastAsia="en-US"/>
              </w:rPr>
              <w:t>55.86%</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C.线上内容平台（小红书/抖音）</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49</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90550" cy="114300"/>
                  <wp:effectExtent l="0" t="0" r="0" b="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图片 100066"/>
                          <pic:cNvPicPr>
                            <a:picLocks noChangeAspect="1"/>
                          </pic:cNvPicPr>
                        </pic:nvPicPr>
                        <pic:blipFill>
                          <a:blip r:embed="rId63"/>
                          <a:stretch>
                            <a:fillRect/>
                          </a:stretch>
                        </pic:blipFill>
                        <pic:spPr>
                          <a:xfrm>
                            <a:off x="0" y="0"/>
                            <a:ext cx="590632"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762000" cy="114300"/>
                  <wp:effectExtent l="0" t="0" r="0"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64"/>
                          <a:stretch>
                            <a:fillRect/>
                          </a:stretch>
                        </pic:blipFill>
                        <pic:spPr>
                          <a:xfrm>
                            <a:off x="0" y="0"/>
                            <a:ext cx="762106" cy="114316"/>
                          </a:xfrm>
                          <a:prstGeom prst="rect">
                            <a:avLst/>
                          </a:prstGeom>
                        </pic:spPr>
                      </pic:pic>
                    </a:graphicData>
                  </a:graphic>
                </wp:inline>
              </w:drawing>
            </w:r>
            <w:r>
              <w:rPr>
                <w:rFonts w:ascii="Times New Roman" w:hAnsi="Times New Roman" w:eastAsia="Times New Roman" w:cs="Times New Roman"/>
                <w:kern w:val="0"/>
                <w:lang w:eastAsia="en-US"/>
              </w:rPr>
              <w:t>44.14%</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D. 线下设计集合店/快闪店</w:t>
            </w:r>
          </w:p>
        </w:tc>
        <w:tc>
          <w:tcPr>
            <w:tcW w:w="1000" w:type="dxa"/>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60</w:t>
            </w:r>
          </w:p>
        </w:tc>
        <w:tc>
          <w:tcPr>
            <w:tcW w:w="3106" w:type="dxa"/>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723900" cy="114300"/>
                  <wp:effectExtent l="0" t="0" r="0" b="0"/>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55"/>
                          <a:stretch>
                            <a:fillRect/>
                          </a:stretch>
                        </pic:blipFill>
                        <pic:spPr>
                          <a:xfrm>
                            <a:off x="0" y="0"/>
                            <a:ext cx="724001"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628650" cy="114300"/>
                  <wp:effectExtent l="0" t="0" r="0" b="0"/>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pic:cNvPicPr>
                            <a:picLocks noChangeAspect="1"/>
                          </pic:cNvPicPr>
                        </pic:nvPicPr>
                        <pic:blipFill>
                          <a:blip r:embed="rId56"/>
                          <a:stretch>
                            <a:fillRect/>
                          </a:stretch>
                        </pic:blipFill>
                        <pic:spPr>
                          <a:xfrm>
                            <a:off x="0" y="0"/>
                            <a:ext cx="628738" cy="114316"/>
                          </a:xfrm>
                          <a:prstGeom prst="rect">
                            <a:avLst/>
                          </a:prstGeom>
                        </pic:spPr>
                      </pic:pic>
                    </a:graphicData>
                  </a:graphic>
                </wp:inline>
              </w:drawing>
            </w:r>
            <w:r>
              <w:rPr>
                <w:rFonts w:ascii="Times New Roman" w:hAnsi="Times New Roman" w:eastAsia="Times New Roman" w:cs="Times New Roman"/>
                <w:kern w:val="0"/>
                <w:lang w:eastAsia="en-US"/>
              </w:rPr>
              <w:t>54.05%</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E. 亲友家中</w:t>
            </w:r>
          </w:p>
        </w:tc>
        <w:tc>
          <w:tcPr>
            <w:tcW w:w="1000" w:type="dxa"/>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26</w:t>
            </w:r>
          </w:p>
        </w:tc>
        <w:tc>
          <w:tcPr>
            <w:tcW w:w="3106" w:type="dxa"/>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314325" cy="114300"/>
                  <wp:effectExtent l="0" t="0" r="0" b="0"/>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 name="图片 100070"/>
                          <pic:cNvPicPr>
                            <a:picLocks noChangeAspect="1"/>
                          </pic:cNvPicPr>
                        </pic:nvPicPr>
                        <pic:blipFill>
                          <a:blip r:embed="rId65"/>
                          <a:stretch>
                            <a:fillRect/>
                          </a:stretch>
                        </pic:blipFill>
                        <pic:spPr>
                          <a:xfrm>
                            <a:off x="0" y="0"/>
                            <a:ext cx="314369"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038225" cy="114300"/>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66"/>
                          <a:stretch>
                            <a:fillRect/>
                          </a:stretch>
                        </pic:blipFill>
                        <pic:spPr>
                          <a:xfrm>
                            <a:off x="0" y="0"/>
                            <a:ext cx="1038370" cy="114316"/>
                          </a:xfrm>
                          <a:prstGeom prst="rect">
                            <a:avLst/>
                          </a:prstGeom>
                        </pic:spPr>
                      </pic:pic>
                    </a:graphicData>
                  </a:graphic>
                </wp:inline>
              </w:drawing>
            </w:r>
            <w:r>
              <w:rPr>
                <w:rFonts w:ascii="Times New Roman" w:hAnsi="Times New Roman" w:eastAsia="Times New Roman" w:cs="Times New Roman"/>
                <w:kern w:val="0"/>
                <w:lang w:eastAsia="en-US"/>
              </w:rPr>
              <w:t>23.42%</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200"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本题有效填写人次</w:t>
            </w:r>
          </w:p>
        </w:tc>
        <w:tc>
          <w:tcPr>
            <w:tcW w:w="1000" w:type="dxa"/>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111</w:t>
            </w:r>
          </w:p>
        </w:tc>
        <w:tc>
          <w:tcPr>
            <w:tcW w:w="3106" w:type="dxa"/>
            <w:shd w:val="clear" w:color="auto" w:fill="F5F5F5"/>
            <w:vAlign w:val="center"/>
          </w:tcPr>
          <w:p>
            <w:pPr>
              <w:widowControl/>
              <w:ind w:firstLine="0" w:firstLineChars="0"/>
              <w:jc w:val="left"/>
              <w:rPr>
                <w:rFonts w:ascii="Times New Roman" w:hAnsi="Times New Roman" w:eastAsia="Times New Roman" w:cs="Times New Roman"/>
                <w:kern w:val="0"/>
                <w:lang w:eastAsia="en-US"/>
              </w:rPr>
            </w:pPr>
          </w:p>
        </w:tc>
      </w:tr>
    </w:tbl>
    <w:p>
      <w:pPr>
        <w:widowControl/>
        <w:ind w:firstLine="0" w:firstLineChars="0"/>
        <w:jc w:val="left"/>
        <w:rPr>
          <w:rFonts w:hint="eastAsia" w:ascii="Times New Roman" w:hAnsi="Times New Roman" w:cs="Times New Roman"/>
          <w:b w:val="0"/>
          <w:color w:val="000000"/>
          <w:kern w:val="0"/>
          <w:sz w:val="24"/>
          <w:lang w:val="en-US" w:eastAsia="zh-CN"/>
        </w:rPr>
      </w:pPr>
    </w:p>
    <w:p>
      <w:pPr>
        <w:widowControl/>
        <w:ind w:firstLine="0" w:firstLineChars="0"/>
        <w:jc w:val="left"/>
        <w:rPr>
          <w:rFonts w:ascii="Times New Roman" w:hAnsi="Times New Roman" w:eastAsia="Times New Roman" w:cs="Times New Roman"/>
          <w:b w:val="0"/>
          <w:color w:val="0066FF"/>
          <w:kern w:val="0"/>
          <w:sz w:val="24"/>
          <w:lang w:eastAsia="en-US"/>
        </w:rPr>
      </w:pPr>
      <w:r>
        <w:rPr>
          <w:rFonts w:hint="eastAsia" w:ascii="Times New Roman" w:hAnsi="Times New Roman" w:cs="Times New Roman"/>
          <w:b w:val="0"/>
          <w:color w:val="000000"/>
          <w:kern w:val="0"/>
          <w:sz w:val="24"/>
          <w:lang w:val="en-US" w:eastAsia="zh-CN"/>
        </w:rPr>
        <w:t>9.</w:t>
      </w:r>
      <w:r>
        <w:rPr>
          <w:rFonts w:ascii="Times New Roman" w:hAnsi="Times New Roman" w:eastAsia="Times New Roman" w:cs="Times New Roman"/>
          <w:b w:val="0"/>
          <w:color w:val="000000"/>
          <w:kern w:val="0"/>
          <w:sz w:val="24"/>
          <w:lang w:eastAsia="en-US"/>
        </w:rPr>
        <w:t xml:space="preserve">如果购买产品后，有一个线上平台允许您分享您家的产品实拍图、甚至参与未来新纹样的投票或设计共创，您的参与意愿是？   </w:t>
      </w:r>
      <w:r>
        <w:rPr>
          <w:rFonts w:ascii="Times New Roman" w:hAnsi="Times New Roman" w:eastAsia="Times New Roman" w:cs="Times New Roman"/>
          <w:b w:val="0"/>
          <w:color w:val="0066FF"/>
          <w:kern w:val="0"/>
          <w:sz w:val="24"/>
          <w:lang w:eastAsia="en-US"/>
        </w:rPr>
        <w:t>[单选题]</w:t>
      </w:r>
    </w:p>
    <w:tbl>
      <w:tblPr>
        <w:tblStyle w:val="17"/>
        <w:tblW w:w="4998"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5780"/>
        <w:gridCol w:w="749"/>
        <w:gridCol w:w="3321"/>
      </w:tblGrid>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2933" w:type="pct"/>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选项</w:t>
            </w:r>
          </w:p>
        </w:tc>
        <w:tc>
          <w:tcPr>
            <w:tcW w:w="380" w:type="pct"/>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小计</w:t>
            </w:r>
          </w:p>
        </w:tc>
        <w:tc>
          <w:tcPr>
            <w:tcW w:w="1685" w:type="pct"/>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比例</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2933" w:type="pct"/>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A. 非常愿意，我很享受这种参与感和社群归属感</w:t>
            </w:r>
          </w:p>
        </w:tc>
        <w:tc>
          <w:tcPr>
            <w:tcW w:w="380" w:type="pct"/>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30</w:t>
            </w:r>
          </w:p>
        </w:tc>
        <w:tc>
          <w:tcPr>
            <w:tcW w:w="1685" w:type="pct"/>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361950" cy="114300"/>
                  <wp:effectExtent l="0" t="0" r="0" b="0"/>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图片 100072"/>
                          <pic:cNvPicPr>
                            <a:picLocks noChangeAspect="1"/>
                          </pic:cNvPicPr>
                        </pic:nvPicPr>
                        <pic:blipFill>
                          <a:blip r:embed="rId67"/>
                          <a:stretch>
                            <a:fillRect/>
                          </a:stretch>
                        </pic:blipFill>
                        <pic:spPr>
                          <a:xfrm>
                            <a:off x="0" y="0"/>
                            <a:ext cx="362001"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990600" cy="114300"/>
                  <wp:effectExtent l="0" t="0" r="0"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68"/>
                          <a:stretch>
                            <a:fillRect/>
                          </a:stretch>
                        </pic:blipFill>
                        <pic:spPr>
                          <a:xfrm>
                            <a:off x="0" y="0"/>
                            <a:ext cx="990738" cy="114316"/>
                          </a:xfrm>
                          <a:prstGeom prst="rect">
                            <a:avLst/>
                          </a:prstGeom>
                        </pic:spPr>
                      </pic:pic>
                    </a:graphicData>
                  </a:graphic>
                </wp:inline>
              </w:drawing>
            </w:r>
            <w:r>
              <w:rPr>
                <w:rFonts w:ascii="Times New Roman" w:hAnsi="Times New Roman" w:eastAsia="Times New Roman" w:cs="Times New Roman"/>
                <w:kern w:val="0"/>
                <w:lang w:eastAsia="en-US"/>
              </w:rPr>
              <w:t>27.03%</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2933" w:type="pct"/>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B. 比较有兴趣，可能会偶尔看看或参与一下</w:t>
            </w:r>
          </w:p>
        </w:tc>
        <w:tc>
          <w:tcPr>
            <w:tcW w:w="380" w:type="pct"/>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51</w:t>
            </w:r>
          </w:p>
        </w:tc>
        <w:tc>
          <w:tcPr>
            <w:tcW w:w="1685" w:type="pct"/>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619125" cy="114300"/>
                  <wp:effectExtent l="0" t="0" r="0" b="0"/>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图片 100074"/>
                          <pic:cNvPicPr>
                            <a:picLocks noChangeAspect="1"/>
                          </pic:cNvPicPr>
                        </pic:nvPicPr>
                        <pic:blipFill>
                          <a:blip r:embed="rId69"/>
                          <a:stretch>
                            <a:fillRect/>
                          </a:stretch>
                        </pic:blipFill>
                        <pic:spPr>
                          <a:xfrm>
                            <a:off x="0" y="0"/>
                            <a:ext cx="619211"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733425" cy="114300"/>
                  <wp:effectExtent l="0" t="0" r="0" b="0"/>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70"/>
                          <a:stretch>
                            <a:fillRect/>
                          </a:stretch>
                        </pic:blipFill>
                        <pic:spPr>
                          <a:xfrm>
                            <a:off x="0" y="0"/>
                            <a:ext cx="733527" cy="114316"/>
                          </a:xfrm>
                          <a:prstGeom prst="rect">
                            <a:avLst/>
                          </a:prstGeom>
                        </pic:spPr>
                      </pic:pic>
                    </a:graphicData>
                  </a:graphic>
                </wp:inline>
              </w:drawing>
            </w:r>
            <w:r>
              <w:rPr>
                <w:rFonts w:ascii="Times New Roman" w:hAnsi="Times New Roman" w:eastAsia="Times New Roman" w:cs="Times New Roman"/>
                <w:kern w:val="0"/>
                <w:lang w:eastAsia="en-US"/>
              </w:rPr>
              <w:t>45.95%</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2933" w:type="pct"/>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C. 一般，更倾向于做一个纯粹的消费者</w:t>
            </w:r>
          </w:p>
        </w:tc>
        <w:tc>
          <w:tcPr>
            <w:tcW w:w="380" w:type="pct"/>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25</w:t>
            </w:r>
          </w:p>
        </w:tc>
        <w:tc>
          <w:tcPr>
            <w:tcW w:w="1685" w:type="pct"/>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295275" cy="114300"/>
                  <wp:effectExtent l="0" t="0" r="0" b="0"/>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图片 100076"/>
                          <pic:cNvPicPr>
                            <a:picLocks noChangeAspect="1"/>
                          </pic:cNvPicPr>
                        </pic:nvPicPr>
                        <pic:blipFill>
                          <a:blip r:embed="rId18"/>
                          <a:stretch>
                            <a:fillRect/>
                          </a:stretch>
                        </pic:blipFill>
                        <pic:spPr>
                          <a:xfrm>
                            <a:off x="0" y="0"/>
                            <a:ext cx="295316"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057275" cy="114300"/>
                  <wp:effectExtent l="0" t="0" r="0" b="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19"/>
                          <a:stretch>
                            <a:fillRect/>
                          </a:stretch>
                        </pic:blipFill>
                        <pic:spPr>
                          <a:xfrm>
                            <a:off x="0" y="0"/>
                            <a:ext cx="1057423" cy="114316"/>
                          </a:xfrm>
                          <a:prstGeom prst="rect">
                            <a:avLst/>
                          </a:prstGeom>
                        </pic:spPr>
                      </pic:pic>
                    </a:graphicData>
                  </a:graphic>
                </wp:inline>
              </w:drawing>
            </w:r>
            <w:r>
              <w:rPr>
                <w:rFonts w:ascii="Times New Roman" w:hAnsi="Times New Roman" w:eastAsia="Times New Roman" w:cs="Times New Roman"/>
                <w:kern w:val="0"/>
                <w:lang w:eastAsia="en-US"/>
              </w:rPr>
              <w:t>22.52%</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2933" w:type="pct"/>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D. 完全没兴趣</w:t>
            </w:r>
          </w:p>
        </w:tc>
        <w:tc>
          <w:tcPr>
            <w:tcW w:w="380" w:type="pct"/>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5</w:t>
            </w:r>
          </w:p>
        </w:tc>
        <w:tc>
          <w:tcPr>
            <w:tcW w:w="1685" w:type="pct"/>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7150" cy="114300"/>
                  <wp:effectExtent l="0" t="0" r="0" b="0"/>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r:embed="rId20"/>
                          <a:stretch>
                            <a:fillRect/>
                          </a:stretch>
                        </pic:blipFill>
                        <pic:spPr>
                          <a:xfrm>
                            <a:off x="0" y="0"/>
                            <a:ext cx="57158"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1295400" cy="114300"/>
                  <wp:effectExtent l="0" t="0" r="0"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21"/>
                          <a:stretch>
                            <a:fillRect/>
                          </a:stretch>
                        </pic:blipFill>
                        <pic:spPr>
                          <a:xfrm>
                            <a:off x="0" y="0"/>
                            <a:ext cx="1295581" cy="114316"/>
                          </a:xfrm>
                          <a:prstGeom prst="rect">
                            <a:avLst/>
                          </a:prstGeom>
                        </pic:spPr>
                      </pic:pic>
                    </a:graphicData>
                  </a:graphic>
                </wp:inline>
              </w:drawing>
            </w:r>
            <w:r>
              <w:rPr>
                <w:rFonts w:ascii="Times New Roman" w:hAnsi="Times New Roman" w:eastAsia="Times New Roman" w:cs="Times New Roman"/>
                <w:kern w:val="0"/>
                <w:lang w:eastAsia="en-US"/>
              </w:rPr>
              <w:t>4.5%</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2933" w:type="pct"/>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本题有效填写人次</w:t>
            </w:r>
          </w:p>
        </w:tc>
        <w:tc>
          <w:tcPr>
            <w:tcW w:w="380" w:type="pct"/>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111</w:t>
            </w:r>
          </w:p>
        </w:tc>
        <w:tc>
          <w:tcPr>
            <w:tcW w:w="1685" w:type="pct"/>
            <w:shd w:val="clear" w:color="auto" w:fill="F5F5F5"/>
            <w:vAlign w:val="center"/>
          </w:tcPr>
          <w:p>
            <w:pPr>
              <w:widowControl/>
              <w:ind w:firstLine="0" w:firstLineChars="0"/>
              <w:jc w:val="left"/>
              <w:rPr>
                <w:rFonts w:ascii="Times New Roman" w:hAnsi="Times New Roman" w:eastAsia="Times New Roman" w:cs="Times New Roman"/>
                <w:kern w:val="0"/>
                <w:lang w:eastAsia="en-US"/>
              </w:rPr>
            </w:pPr>
          </w:p>
        </w:tc>
      </w:tr>
    </w:tbl>
    <w:p>
      <w:pPr>
        <w:widowControl/>
        <w:ind w:firstLine="0" w:firstLineChars="0"/>
        <w:jc w:val="left"/>
        <w:rPr>
          <w:rFonts w:ascii="Times New Roman" w:hAnsi="Times New Roman" w:eastAsia="Times New Roman" w:cs="Times New Roman"/>
          <w:b w:val="0"/>
          <w:color w:val="000000"/>
          <w:kern w:val="0"/>
          <w:sz w:val="24"/>
          <w:lang w:eastAsia="en-US"/>
        </w:rPr>
      </w:pPr>
    </w:p>
    <w:p>
      <w:pPr>
        <w:widowControl/>
        <w:ind w:firstLine="0" w:firstLineChars="0"/>
        <w:jc w:val="left"/>
        <w:rPr>
          <w:rFonts w:ascii="Times New Roman" w:hAnsi="Times New Roman" w:eastAsia="Times New Roman" w:cs="Times New Roman"/>
          <w:b w:val="0"/>
          <w:color w:val="0066FF"/>
          <w:kern w:val="0"/>
          <w:sz w:val="24"/>
          <w:lang w:eastAsia="en-US"/>
        </w:rPr>
      </w:pPr>
      <w:r>
        <w:rPr>
          <w:rFonts w:hint="eastAsia" w:ascii="Times New Roman" w:hAnsi="Times New Roman" w:cs="Times New Roman"/>
          <w:b w:val="0"/>
          <w:color w:val="000000"/>
          <w:kern w:val="0"/>
          <w:sz w:val="24"/>
          <w:lang w:val="en-US" w:eastAsia="zh-CN"/>
        </w:rPr>
        <w:t>10.</w:t>
      </w:r>
      <w:r>
        <w:rPr>
          <w:rFonts w:ascii="Times New Roman" w:hAnsi="Times New Roman" w:eastAsia="Times New Roman" w:cs="Times New Roman"/>
          <w:b w:val="0"/>
          <w:color w:val="000000"/>
          <w:kern w:val="0"/>
          <w:sz w:val="24"/>
          <w:lang w:eastAsia="en-US"/>
        </w:rPr>
        <w:t xml:space="preserve">您对这类“文化+科技”家居产品还有哪些建议或期待？   </w:t>
      </w:r>
      <w:r>
        <w:rPr>
          <w:rFonts w:ascii="Times New Roman" w:hAnsi="Times New Roman" w:eastAsia="Times New Roman" w:cs="Times New Roman"/>
          <w:b w:val="0"/>
          <w:color w:val="0066FF"/>
          <w:kern w:val="0"/>
          <w:sz w:val="24"/>
          <w:lang w:eastAsia="en-US"/>
        </w:rPr>
        <w:t>[多选题]</w:t>
      </w:r>
    </w:p>
    <w:tbl>
      <w:tblPr>
        <w:tblStyle w:val="17"/>
        <w:tblW w:w="500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840"/>
        <w:gridCol w:w="639"/>
        <w:gridCol w:w="2375"/>
      </w:tblGrid>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3470" w:type="pct"/>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选项</w:t>
            </w:r>
          </w:p>
        </w:tc>
        <w:tc>
          <w:tcPr>
            <w:tcW w:w="324" w:type="pct"/>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小计</w:t>
            </w:r>
          </w:p>
        </w:tc>
        <w:tc>
          <w:tcPr>
            <w:tcW w:w="1205" w:type="pct"/>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比例</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3470" w:type="pct"/>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A. 传统哲学与生活方式：如“天人合一”、“节气养生”理念的智能化体现（如根据节气调节家居环境的智能系统）。</w:t>
            </w:r>
          </w:p>
        </w:tc>
        <w:tc>
          <w:tcPr>
            <w:tcW w:w="324" w:type="pct"/>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72</w:t>
            </w:r>
          </w:p>
        </w:tc>
        <w:tc>
          <w:tcPr>
            <w:tcW w:w="1205" w:type="pct"/>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876300" cy="114300"/>
                  <wp:effectExtent l="0" t="0" r="0" b="0"/>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100080"/>
                          <pic:cNvPicPr>
                            <a:picLocks noChangeAspect="1"/>
                          </pic:cNvPicPr>
                        </pic:nvPicPr>
                        <pic:blipFill>
                          <a:blip r:embed="rId59"/>
                          <a:stretch>
                            <a:fillRect/>
                          </a:stretch>
                        </pic:blipFill>
                        <pic:spPr>
                          <a:xfrm>
                            <a:off x="0" y="0"/>
                            <a:ext cx="876422"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476250" cy="114300"/>
                  <wp:effectExtent l="0" t="0" r="0"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60"/>
                          <a:stretch>
                            <a:fillRect/>
                          </a:stretch>
                        </pic:blipFill>
                        <pic:spPr>
                          <a:xfrm>
                            <a:off x="0" y="0"/>
                            <a:ext cx="476316" cy="114316"/>
                          </a:xfrm>
                          <a:prstGeom prst="rect">
                            <a:avLst/>
                          </a:prstGeom>
                        </pic:spPr>
                      </pic:pic>
                    </a:graphicData>
                  </a:graphic>
                </wp:inline>
              </w:drawing>
            </w:r>
            <w:r>
              <w:rPr>
                <w:rFonts w:ascii="Times New Roman" w:hAnsi="Times New Roman" w:eastAsia="Times New Roman" w:cs="Times New Roman"/>
                <w:kern w:val="0"/>
                <w:lang w:eastAsia="en-US"/>
              </w:rPr>
              <w:t>64.86%</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3470" w:type="pct"/>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B. 艺术美学与装饰：如数字国画、动态书法、非遗纹样（如雷州刺绣、青花瓷纹样）的数字化、互动化展示。</w:t>
            </w:r>
          </w:p>
        </w:tc>
        <w:tc>
          <w:tcPr>
            <w:tcW w:w="324" w:type="pct"/>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64</w:t>
            </w:r>
          </w:p>
        </w:tc>
        <w:tc>
          <w:tcPr>
            <w:tcW w:w="1205" w:type="pct"/>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771525" cy="114300"/>
                  <wp:effectExtent l="0" t="0" r="0" b="0"/>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图片 100082"/>
                          <pic:cNvPicPr>
                            <a:picLocks noChangeAspect="1"/>
                          </pic:cNvPicPr>
                        </pic:nvPicPr>
                        <pic:blipFill>
                          <a:blip r:embed="rId71"/>
                          <a:stretch>
                            <a:fillRect/>
                          </a:stretch>
                        </pic:blipFill>
                        <pic:spPr>
                          <a:xfrm>
                            <a:off x="0" y="0"/>
                            <a:ext cx="771633"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581025" cy="114300"/>
                  <wp:effectExtent l="0" t="0" r="0" b="0"/>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72"/>
                          <a:stretch>
                            <a:fillRect/>
                          </a:stretch>
                        </pic:blipFill>
                        <pic:spPr>
                          <a:xfrm>
                            <a:off x="0" y="0"/>
                            <a:ext cx="581106" cy="114316"/>
                          </a:xfrm>
                          <a:prstGeom prst="rect">
                            <a:avLst/>
                          </a:prstGeom>
                        </pic:spPr>
                      </pic:pic>
                    </a:graphicData>
                  </a:graphic>
                </wp:inline>
              </w:drawing>
            </w:r>
            <w:r>
              <w:rPr>
                <w:rFonts w:ascii="Times New Roman" w:hAnsi="Times New Roman" w:eastAsia="Times New Roman" w:cs="Times New Roman"/>
                <w:kern w:val="0"/>
                <w:lang w:eastAsia="en-US"/>
              </w:rPr>
              <w:t>57.66%</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724" w:hRule="atLeast"/>
        </w:trPr>
        <w:tc>
          <w:tcPr>
            <w:tcW w:w="3470" w:type="pct"/>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C. 历史知识与故事：通过产品与文物、历史人物、古诗词产生互动，让学习历史变得生动有趣。</w:t>
            </w:r>
          </w:p>
        </w:tc>
        <w:tc>
          <w:tcPr>
            <w:tcW w:w="324" w:type="pct"/>
            <w:shd w:val="clear" w:color="auto" w:fill="FFFFFF"/>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58</w:t>
            </w:r>
          </w:p>
        </w:tc>
        <w:tc>
          <w:tcPr>
            <w:tcW w:w="1205" w:type="pct"/>
            <w:shd w:val="clear" w:color="auto" w:fill="FFFFFF"/>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704850" cy="114300"/>
                  <wp:effectExtent l="0" t="0" r="0" b="0"/>
                  <wp:docPr id="100084" name="图片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图片 100084"/>
                          <pic:cNvPicPr>
                            <a:picLocks noChangeAspect="1"/>
                          </pic:cNvPicPr>
                        </pic:nvPicPr>
                        <pic:blipFill>
                          <a:blip r:embed="rId73"/>
                          <a:stretch>
                            <a:fillRect/>
                          </a:stretch>
                        </pic:blipFill>
                        <pic:spPr>
                          <a:xfrm>
                            <a:off x="0" y="0"/>
                            <a:ext cx="704948"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647700" cy="114300"/>
                  <wp:effectExtent l="0" t="0" r="0"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74"/>
                          <a:stretch>
                            <a:fillRect/>
                          </a:stretch>
                        </pic:blipFill>
                        <pic:spPr>
                          <a:xfrm>
                            <a:off x="0" y="0"/>
                            <a:ext cx="647790" cy="114316"/>
                          </a:xfrm>
                          <a:prstGeom prst="rect">
                            <a:avLst/>
                          </a:prstGeom>
                        </pic:spPr>
                      </pic:pic>
                    </a:graphicData>
                  </a:graphic>
                </wp:inline>
              </w:drawing>
            </w:r>
            <w:r>
              <w:rPr>
                <w:rFonts w:ascii="Times New Roman" w:hAnsi="Times New Roman" w:eastAsia="Times New Roman" w:cs="Times New Roman"/>
                <w:kern w:val="0"/>
                <w:lang w:eastAsia="en-US"/>
              </w:rPr>
              <w:t>52.25%</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3470" w:type="pct"/>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D. 民俗礼仪与节日：产品能协助和提醒传统节庆、家礼仪式，增强生活的仪式感和文化归属感。</w:t>
            </w:r>
          </w:p>
        </w:tc>
        <w:tc>
          <w:tcPr>
            <w:tcW w:w="324" w:type="pct"/>
            <w:shd w:val="clear" w:color="auto" w:fill="FAFAFA"/>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44</w:t>
            </w:r>
          </w:p>
        </w:tc>
        <w:tc>
          <w:tcPr>
            <w:tcW w:w="1205" w:type="pct"/>
            <w:shd w:val="clear" w:color="auto" w:fill="FAFAFA"/>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drawing>
                <wp:inline distT="0" distB="0" distL="114300" distR="114300">
                  <wp:extent cx="533400" cy="114300"/>
                  <wp:effectExtent l="0" t="0" r="0" b="0"/>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图片 100086"/>
                          <pic:cNvPicPr>
                            <a:picLocks noChangeAspect="1"/>
                          </pic:cNvPicPr>
                        </pic:nvPicPr>
                        <pic:blipFill>
                          <a:blip r:embed="rId75"/>
                          <a:stretch>
                            <a:fillRect/>
                          </a:stretch>
                        </pic:blipFill>
                        <pic:spPr>
                          <a:xfrm>
                            <a:off x="0" y="0"/>
                            <a:ext cx="533474" cy="114316"/>
                          </a:xfrm>
                          <a:prstGeom prst="rect">
                            <a:avLst/>
                          </a:prstGeom>
                        </pic:spPr>
                      </pic:pic>
                    </a:graphicData>
                  </a:graphic>
                </wp:inline>
              </w:drawing>
            </w:r>
            <w:r>
              <w:rPr>
                <w:rFonts w:ascii="Times New Roman" w:hAnsi="Times New Roman" w:eastAsia="Times New Roman" w:cs="Times New Roman"/>
                <w:kern w:val="0"/>
                <w:lang w:eastAsia="en-US"/>
              </w:rPr>
              <w:drawing>
                <wp:inline distT="0" distB="0" distL="114300" distR="114300">
                  <wp:extent cx="819150" cy="114300"/>
                  <wp:effectExtent l="0" t="0" r="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76"/>
                          <a:stretch>
                            <a:fillRect/>
                          </a:stretch>
                        </pic:blipFill>
                        <pic:spPr>
                          <a:xfrm>
                            <a:off x="0" y="0"/>
                            <a:ext cx="819264" cy="114316"/>
                          </a:xfrm>
                          <a:prstGeom prst="rect">
                            <a:avLst/>
                          </a:prstGeom>
                        </pic:spPr>
                      </pic:pic>
                    </a:graphicData>
                  </a:graphic>
                </wp:inline>
              </w:drawing>
            </w:r>
            <w:r>
              <w:rPr>
                <w:rFonts w:ascii="Times New Roman" w:hAnsi="Times New Roman" w:eastAsia="Times New Roman" w:cs="Times New Roman"/>
                <w:kern w:val="0"/>
                <w:lang w:eastAsia="en-US"/>
              </w:rPr>
              <w:t>39.64%</w:t>
            </w:r>
          </w:p>
        </w:tc>
      </w:tr>
      <w:tr>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3470" w:type="pct"/>
            <w:shd w:val="clear" w:color="auto" w:fill="F5F5F5"/>
            <w:vAlign w:val="center"/>
          </w:tcPr>
          <w:p>
            <w:pPr>
              <w:widowControl/>
              <w:ind w:firstLine="0" w:firstLineChars="0"/>
              <w:jc w:val="left"/>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本题有效填写人次</w:t>
            </w:r>
          </w:p>
        </w:tc>
        <w:tc>
          <w:tcPr>
            <w:tcW w:w="324" w:type="pct"/>
            <w:shd w:val="clear" w:color="auto" w:fill="F5F5F5"/>
            <w:vAlign w:val="center"/>
          </w:tcPr>
          <w:p>
            <w:pPr>
              <w:widowControl/>
              <w:ind w:firstLine="0" w:firstLineChars="0"/>
              <w:jc w:val="center"/>
              <w:rPr>
                <w:rFonts w:ascii="Times New Roman" w:hAnsi="Times New Roman" w:eastAsia="Times New Roman" w:cs="Times New Roman"/>
                <w:kern w:val="0"/>
                <w:lang w:eastAsia="en-US"/>
              </w:rPr>
            </w:pPr>
            <w:r>
              <w:rPr>
                <w:rFonts w:ascii="Times New Roman" w:hAnsi="Times New Roman" w:eastAsia="Times New Roman" w:cs="Times New Roman"/>
                <w:kern w:val="0"/>
                <w:lang w:eastAsia="en-US"/>
              </w:rPr>
              <w:t>111</w:t>
            </w:r>
          </w:p>
        </w:tc>
        <w:tc>
          <w:tcPr>
            <w:tcW w:w="1205" w:type="pct"/>
            <w:shd w:val="clear" w:color="auto" w:fill="F5F5F5"/>
            <w:vAlign w:val="center"/>
          </w:tcPr>
          <w:p>
            <w:pPr>
              <w:widowControl/>
              <w:ind w:firstLine="0" w:firstLineChars="0"/>
              <w:jc w:val="left"/>
              <w:rPr>
                <w:rFonts w:ascii="Times New Roman" w:hAnsi="Times New Roman" w:eastAsia="Times New Roman" w:cs="Times New Roman"/>
                <w:kern w:val="0"/>
                <w:lang w:eastAsia="en-US"/>
              </w:rPr>
            </w:pPr>
          </w:p>
        </w:tc>
      </w:tr>
    </w:tbl>
    <w:p>
      <w:pPr>
        <w:bidi w:val="0"/>
        <w:rPr>
          <w:rFonts w:hint="eastAsia" w:ascii="Calibri" w:hAnsi="Calibri" w:eastAsia="宋体"/>
          <w:vertAlign w:val="baseline"/>
          <w:lang w:val="en-US" w:eastAsia="zh-CN"/>
        </w:rPr>
      </w:pPr>
    </w:p>
    <w:p>
      <w:pPr>
        <w:bidi w:val="0"/>
        <w:rPr>
          <w:rFonts w:hint="eastAsia" w:ascii="Calibri" w:hAnsi="Calibri" w:eastAsia="宋体"/>
          <w:vertAlign w:val="baseline"/>
          <w:lang w:val="en-US" w:eastAsia="zh-CN"/>
        </w:rPr>
      </w:pPr>
    </w:p>
    <w:p>
      <w:pPr>
        <w:bidi w:val="0"/>
        <w:rPr>
          <w:rFonts w:hint="eastAsia" w:ascii="Calibri" w:hAnsi="Calibri" w:eastAsia="宋体"/>
          <w:vertAlign w:val="baseline"/>
          <w:lang w:val="en-US" w:eastAsia="zh-CN"/>
        </w:rPr>
      </w:pPr>
    </w:p>
    <w:p>
      <w:pPr>
        <w:bidi w:val="0"/>
        <w:rPr>
          <w:rFonts w:hint="eastAsia"/>
        </w:rPr>
      </w:pPr>
    </w:p>
    <w:p>
      <w:pPr>
        <w:pStyle w:val="2"/>
        <w:bidi w:val="0"/>
        <w:rPr>
          <w:rFonts w:hint="eastAsia"/>
        </w:rPr>
      </w:pPr>
      <w:bookmarkStart w:id="4" w:name="_Toc30417"/>
      <w:r>
        <w:rPr>
          <w:rFonts w:hint="eastAsia"/>
        </w:rPr>
        <w:t>非遗活化与乡村振兴深度融合的路径研究——基于多个典型案例的调研分析</w:t>
      </w:r>
      <w:bookmarkEnd w:id="4"/>
    </w:p>
    <w:p>
      <w:pPr>
        <w:spacing w:after="160" w:line="400" w:lineRule="exact"/>
        <w:ind w:firstLine="562"/>
        <w:rPr>
          <w:rFonts w:hint="eastAsia" w:ascii="楷体" w:hAnsi="楷体" w:eastAsia="楷体"/>
          <w:sz w:val="28"/>
        </w:rPr>
      </w:pPr>
      <w:r>
        <w:rPr>
          <w:rFonts w:hint="eastAsia" w:ascii="楷体" w:hAnsi="楷体" w:eastAsia="楷体"/>
          <w:b/>
          <w:bCs/>
          <w:sz w:val="28"/>
        </w:rPr>
        <w:t>摘要</w:t>
      </w:r>
      <w:r>
        <w:rPr>
          <w:rFonts w:hint="eastAsia" w:ascii="楷体" w:hAnsi="楷体" w:eastAsia="楷体"/>
          <w:sz w:val="28"/>
        </w:rPr>
        <w:t>：非遗活化与乡村振兴是当前国家战略重点。本文通过调研故宫文创、贵州“锦绣计划”、花西子×苗族印象联名案例以及大学生“苗绣竹韵家居”项目，比较分析不同主体在非遗转化中的成功要素。研究发现：成功的非遗活化案例具有共性规律——文化符号的当代设计转化、多方协作的生态构建、轻资产起步的分阶段投入、以及知识产权保护先行。对于大学生非遗创业项目而言，应优先完成模式设计与可行性验证，善用政策补贴与品牌联名，避免盲目准求实物落地。本文还从政策优化角度提出建立非遗+大学生创业专项基金、搭建纹样授权平台等建议。</w:t>
      </w:r>
    </w:p>
    <w:p>
      <w:pPr>
        <w:spacing w:after="160" w:line="400" w:lineRule="exact"/>
        <w:ind w:firstLine="562"/>
        <w:rPr>
          <w:rFonts w:hint="eastAsia" w:ascii="楷体" w:hAnsi="楷体" w:eastAsia="楷体"/>
          <w:sz w:val="28"/>
        </w:rPr>
      </w:pPr>
      <w:r>
        <w:rPr>
          <w:rFonts w:hint="eastAsia" w:ascii="楷体" w:hAnsi="楷体" w:eastAsia="楷体"/>
          <w:b/>
          <w:bCs/>
          <w:sz w:val="28"/>
        </w:rPr>
        <w:t>关键词</w:t>
      </w:r>
      <w:r>
        <w:rPr>
          <w:rFonts w:hint="eastAsia" w:ascii="楷体" w:hAnsi="楷体" w:eastAsia="楷体"/>
          <w:sz w:val="28"/>
        </w:rPr>
        <w:t>：非遗活化；乡村振兴；案例调研；大学生创业；模式比较</w:t>
      </w:r>
    </w:p>
    <w:p>
      <w:pPr>
        <w:widowControl w:val="0"/>
        <w:numPr>
          <w:ilvl w:val="0"/>
          <w:numId w:val="2"/>
        </w:numPr>
        <w:spacing w:before="312" w:beforeLines="100" w:after="312" w:afterLines="100" w:line="240" w:lineRule="auto"/>
        <w:ind w:firstLine="560" w:firstLineChars="0"/>
        <w:jc w:val="center"/>
        <w:outlineLvl w:val="0"/>
        <w:rPr>
          <w:rFonts w:hint="eastAsia" w:ascii="楷体" w:hAnsi="楷体" w:eastAsia="楷体" w:cstheme="minorBidi"/>
          <w:b/>
          <w:kern w:val="44"/>
          <w:sz w:val="32"/>
          <w:szCs w:val="24"/>
          <w:lang w:val="en-US" w:eastAsia="zh-CN" w:bidi="ar-SA"/>
        </w:rPr>
      </w:pPr>
      <w:bookmarkStart w:id="5" w:name="_Toc12617"/>
      <w:bookmarkStart w:id="6" w:name="_Toc13777"/>
      <w:bookmarkStart w:id="7" w:name="_Toc9018"/>
      <w:r>
        <w:rPr>
          <w:rFonts w:hint="eastAsia" w:ascii="楷体" w:hAnsi="楷体" w:eastAsia="楷体" w:cstheme="minorBidi"/>
          <w:b/>
          <w:kern w:val="44"/>
          <w:sz w:val="32"/>
          <w:szCs w:val="24"/>
          <w:lang w:val="en-US" w:eastAsia="zh-CN" w:bidi="ar-SA"/>
        </w:rPr>
        <w:t>引言</w:t>
      </w:r>
      <w:bookmarkEnd w:id="5"/>
      <w:bookmarkEnd w:id="6"/>
      <w:bookmarkEnd w:id="7"/>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研究背景</w:t>
      </w:r>
    </w:p>
    <w:p>
      <w:pPr>
        <w:spacing w:after="160" w:line="400" w:lineRule="exact"/>
        <w:ind w:firstLine="560"/>
        <w:rPr>
          <w:rFonts w:hint="eastAsia" w:ascii="楷体" w:hAnsi="楷体" w:eastAsia="楷体"/>
          <w:sz w:val="28"/>
        </w:rPr>
      </w:pPr>
      <w:r>
        <w:rPr>
          <w:rFonts w:hint="eastAsia" w:ascii="楷体" w:hAnsi="楷体" w:eastAsia="楷体"/>
          <w:sz w:val="28"/>
        </w:rPr>
        <w:t>非物质文化遗产是中华优秀传统文化的重要组成部分。党的十八大以来，党和国家将非物质文化遗产保护工作提升至前所未有的战略高度。2021年，中共中央办公厅、国务院办公厅印发了《关于进一步加强非物质文化遗产保护工作的意见》，这是我国首次以“两办”名义印发的非遗保护领域综合性政策文件</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_Ref11095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w:t>
      </w:r>
      <w:r>
        <w:rPr>
          <w:rFonts w:hint="eastAsia" w:ascii="楷体" w:hAnsi="楷体" w:eastAsia="楷体"/>
          <w:sz w:val="28"/>
          <w:vertAlign w:val="superscript"/>
        </w:rPr>
        <w:fldChar w:fldCharType="end"/>
      </w:r>
      <w:r>
        <w:rPr>
          <w:rFonts w:hint="eastAsia" w:ascii="楷体" w:hAnsi="楷体" w:eastAsia="楷体"/>
          <w:sz w:val="28"/>
        </w:rPr>
        <w:t>。2025年11月，全国非物质文化遗产保护工作会议明确指出，要“坚持保护第一、活态传承、守正创新、合理利用的工作要求，推动非遗融入现代生活”</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_Ref11124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[2]</w:t>
      </w:r>
      <w:r>
        <w:rPr>
          <w:rFonts w:hint="eastAsia" w:ascii="楷体" w:hAnsi="楷体" w:eastAsia="楷体"/>
          <w:sz w:val="28"/>
          <w:vertAlign w:val="superscript"/>
        </w:rPr>
        <w:fldChar w:fldCharType="end"/>
      </w:r>
      <w:r>
        <w:rPr>
          <w:rFonts w:hint="eastAsia" w:ascii="楷体" w:hAnsi="楷体" w:eastAsia="楷体"/>
          <w:sz w:val="28"/>
        </w:rPr>
        <w:t>。这一政策导向表明，非遗工作已从“抢救性保护”转向“活态传承”与“创新利用”并重的新时期。</w:t>
      </w:r>
    </w:p>
    <w:p>
      <w:pPr>
        <w:spacing w:after="160" w:line="400" w:lineRule="exact"/>
        <w:ind w:firstLine="560"/>
        <w:rPr>
          <w:rFonts w:hint="eastAsia" w:ascii="楷体" w:hAnsi="楷体" w:eastAsia="楷体"/>
          <w:sz w:val="28"/>
        </w:rPr>
      </w:pPr>
      <w:r>
        <w:rPr>
          <w:rFonts w:hint="eastAsia" w:ascii="楷体" w:hAnsi="楷体" w:eastAsia="楷体"/>
          <w:sz w:val="28"/>
        </w:rPr>
        <w:t>与政策环境相呼应的是，非遗消费市场正经历快速增长。据统计，2025年我国非遗相关市场规模突破1.1万亿元，增速超过20%，90后、00后贡献了超过60%的非遗消费份额</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_Ref11163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[3]</w:t>
      </w:r>
      <w:r>
        <w:rPr>
          <w:rFonts w:hint="eastAsia" w:ascii="楷体" w:hAnsi="楷体" w:eastAsia="楷体"/>
          <w:sz w:val="28"/>
          <w:vertAlign w:val="superscript"/>
        </w:rPr>
        <w:fldChar w:fldCharType="end"/>
      </w:r>
      <w:r>
        <w:rPr>
          <w:rFonts w:hint="eastAsia" w:ascii="楷体" w:hAnsi="楷体" w:eastAsia="楷体"/>
          <w:sz w:val="28"/>
        </w:rPr>
        <w:t>。年轻消费者对兼具文化内涵与现代设计的产品需求激增，非遗消费正从“为情绪买单”升级为“通过非遗创造意义”</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_Ref11163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[3]</w:t>
      </w:r>
      <w:r>
        <w:rPr>
          <w:rFonts w:hint="eastAsia" w:ascii="楷体" w:hAnsi="楷体" w:eastAsia="楷体"/>
          <w:sz w:val="28"/>
          <w:vertAlign w:val="superscript"/>
        </w:rPr>
        <w:fldChar w:fldCharType="end"/>
      </w:r>
      <w:r>
        <w:rPr>
          <w:rFonts w:hint="eastAsia" w:ascii="楷体" w:hAnsi="楷体" w:eastAsia="楷体"/>
          <w:sz w:val="28"/>
        </w:rPr>
        <w:t>。</w:t>
      </w:r>
    </w:p>
    <w:p>
      <w:pPr>
        <w:spacing w:after="160" w:line="400" w:lineRule="exact"/>
        <w:ind w:firstLine="560"/>
        <w:rPr>
          <w:rFonts w:hint="eastAsia" w:ascii="楷体" w:hAnsi="楷体" w:eastAsia="楷体"/>
          <w:sz w:val="28"/>
        </w:rPr>
      </w:pPr>
      <w:r>
        <w:rPr>
          <w:rFonts w:hint="eastAsia" w:ascii="楷体" w:hAnsi="楷体" w:eastAsia="楷体"/>
          <w:sz w:val="28"/>
        </w:rPr>
        <w:t>与此同时，乡村振兴战略的深入推进为非遗产业发展提供了广阔空间。贵州省作为苗绣文化的核心分布区，早在2013年即启动实施了“锦绣计划”工程，建成合作社1354家，带动50多万名妇女就业，实现年产值近百亿元</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_Ref11026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[4]</w:t>
      </w:r>
      <w:r>
        <w:rPr>
          <w:rFonts w:hint="eastAsia" w:ascii="楷体" w:hAnsi="楷体" w:eastAsia="楷体"/>
          <w:sz w:val="28"/>
          <w:vertAlign w:val="superscript"/>
        </w:rPr>
        <w:fldChar w:fldCharType="end"/>
      </w:r>
      <w:r>
        <w:rPr>
          <w:rFonts w:hint="eastAsia" w:ascii="楷体" w:hAnsi="楷体" w:eastAsia="楷体"/>
          <w:sz w:val="28"/>
        </w:rPr>
        <w:t>。贵州还积极运用数字化技术赋能苗绣产业，构建苗绣数字化保护基因库，通过VR、AR等技术拓展非遗的沉浸式体验与数字化传播路径</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_Ref11232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[5]</w:t>
      </w:r>
      <w:r>
        <w:rPr>
          <w:rFonts w:hint="eastAsia" w:ascii="楷体" w:hAnsi="楷体" w:eastAsia="楷体"/>
          <w:sz w:val="28"/>
          <w:vertAlign w:val="superscript"/>
        </w:rPr>
        <w:fldChar w:fldCharType="end"/>
      </w:r>
      <w:r>
        <w:rPr>
          <w:rFonts w:hint="eastAsia" w:ascii="楷体" w:hAnsi="楷体" w:eastAsia="楷体"/>
          <w:sz w:val="28"/>
        </w:rPr>
        <w:t>。</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问题的提出</w:t>
      </w:r>
    </w:p>
    <w:p>
      <w:pPr>
        <w:spacing w:after="160" w:line="400" w:lineRule="exact"/>
        <w:ind w:firstLine="560"/>
        <w:rPr>
          <w:rFonts w:hint="eastAsia" w:ascii="楷体" w:hAnsi="楷体" w:eastAsia="楷体"/>
          <w:sz w:val="28"/>
        </w:rPr>
      </w:pPr>
      <w:r>
        <w:rPr>
          <w:rFonts w:ascii="楷体" w:hAnsi="楷体" w:eastAsia="楷体"/>
          <w:sz w:val="28"/>
        </w:rPr>
        <w:t>尽管宏观政策与市场需求均为非遗产业发展提供了有利条件，但苗绣产业化仍面临多重困境。传承人老龄化严重，绣娘平均年龄超过50岁，年轻群体传承意愿低，技艺面临失传风险</w:t>
      </w:r>
      <w:r>
        <w:rPr>
          <w:rFonts w:ascii="楷体" w:hAnsi="楷体" w:eastAsia="楷体"/>
          <w:sz w:val="28"/>
          <w:vertAlign w:val="superscript"/>
        </w:rPr>
        <w:fldChar w:fldCharType="begin"/>
      </w:r>
      <w:r>
        <w:rPr>
          <w:rFonts w:ascii="楷体" w:hAnsi="楷体" w:eastAsia="楷体"/>
          <w:sz w:val="28"/>
          <w:vertAlign w:val="superscript"/>
        </w:rPr>
        <w:instrText xml:space="preserve"> REF _Ref11415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[6]</w:t>
      </w:r>
      <w:r>
        <w:rPr>
          <w:rFonts w:ascii="楷体" w:hAnsi="楷体" w:eastAsia="楷体"/>
          <w:sz w:val="28"/>
          <w:vertAlign w:val="superscript"/>
        </w:rPr>
        <w:fldChar w:fldCharType="end"/>
      </w:r>
      <w:r>
        <w:rPr>
          <w:rFonts w:hint="eastAsia" w:ascii="楷体" w:hAnsi="楷体" w:eastAsia="楷体"/>
          <w:sz w:val="28"/>
        </w:rPr>
        <w:t>；</w:t>
      </w:r>
      <w:r>
        <w:rPr>
          <w:rFonts w:ascii="楷体" w:hAnsi="楷体" w:eastAsia="楷体"/>
          <w:sz w:val="28"/>
        </w:rPr>
        <w:t>产品形态与市场需求错配，苗绣产品长期以旅游纪念品为主，同质化严重，缺乏与现代家居场景的功能性融合</w:t>
      </w:r>
      <w:r>
        <w:rPr>
          <w:rFonts w:ascii="楷体" w:hAnsi="楷体" w:eastAsia="楷体"/>
          <w:sz w:val="28"/>
          <w:vertAlign w:val="superscript"/>
        </w:rPr>
        <w:fldChar w:fldCharType="begin"/>
      </w:r>
      <w:r>
        <w:rPr>
          <w:rFonts w:ascii="楷体" w:hAnsi="楷体" w:eastAsia="楷体"/>
          <w:sz w:val="28"/>
          <w:vertAlign w:val="superscript"/>
        </w:rPr>
        <w:instrText xml:space="preserve"> REF _Ref11434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[7]</w:t>
      </w:r>
      <w:r>
        <w:rPr>
          <w:rFonts w:ascii="楷体" w:hAnsi="楷体" w:eastAsia="楷体"/>
          <w:sz w:val="28"/>
          <w:vertAlign w:val="superscript"/>
        </w:rPr>
        <w:fldChar w:fldCharType="end"/>
      </w:r>
      <w:r>
        <w:rPr>
          <w:rFonts w:hint="eastAsia" w:ascii="楷体" w:hAnsi="楷体" w:eastAsia="楷体"/>
          <w:sz w:val="28"/>
        </w:rPr>
        <w:t xml:space="preserve"> ；</w:t>
      </w:r>
      <w:r>
        <w:rPr>
          <w:rFonts w:ascii="楷体" w:hAnsi="楷体" w:eastAsia="楷体"/>
          <w:sz w:val="28"/>
        </w:rPr>
        <w:t>产业化运作能力薄弱，分散化的小农生产方式难以形成规模效应，销售渠道单一，知识产权保护不力，纹样被抄袭现象频发</w:t>
      </w:r>
      <w:r>
        <w:rPr>
          <w:rFonts w:ascii="楷体" w:hAnsi="楷体" w:eastAsia="楷体"/>
          <w:sz w:val="28"/>
          <w:vertAlign w:val="superscript"/>
        </w:rPr>
        <w:fldChar w:fldCharType="begin"/>
      </w:r>
      <w:r>
        <w:rPr>
          <w:rFonts w:ascii="楷体" w:hAnsi="楷体" w:eastAsia="楷体"/>
          <w:sz w:val="28"/>
          <w:vertAlign w:val="superscript"/>
        </w:rPr>
        <w:instrText xml:space="preserve"> REF _Ref11457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[8]</w:t>
      </w:r>
      <w:r>
        <w:rPr>
          <w:rFonts w:ascii="楷体" w:hAnsi="楷体" w:eastAsia="楷体"/>
          <w:sz w:val="28"/>
          <w:vertAlign w:val="superscript"/>
        </w:rPr>
        <w:fldChar w:fldCharType="end"/>
      </w:r>
      <w:r>
        <w:rPr>
          <w:rFonts w:ascii="楷体" w:hAnsi="楷体" w:eastAsia="楷体"/>
          <w:sz w:val="28"/>
        </w:rPr>
        <w:t>。</w:t>
      </w:r>
    </w:p>
    <w:p>
      <w:pPr>
        <w:spacing w:after="160" w:line="400" w:lineRule="exact"/>
        <w:ind w:firstLine="560"/>
        <w:rPr>
          <w:rFonts w:hint="eastAsia" w:ascii="楷体" w:hAnsi="楷体" w:eastAsia="楷体"/>
          <w:sz w:val="28"/>
        </w:rPr>
      </w:pPr>
      <w:r>
        <w:rPr>
          <w:rFonts w:ascii="楷体" w:hAnsi="楷体" w:eastAsia="楷体"/>
          <w:sz w:val="28"/>
        </w:rPr>
        <w:t>更值得关注的是，大学生创业团队虽有意参与非遗活化与乡村振兴，却普遍面临资金匮乏、供应链资源不足、市场渠道缺失等现实约束。以省级大学生创新训练项目“苗绣竹韵家居”为例，团队完成了产品设计图纸、外观设计专利申请及消费者问卷调查，但因无实际资金支持，无法将设计转化为实物产品并推向市场。这一困境并非个例，而是反映了大学生非遗创业项目的普遍现状。</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研究问题与意义</w:t>
      </w:r>
    </w:p>
    <w:p>
      <w:pPr>
        <w:spacing w:after="160" w:line="400" w:lineRule="exact"/>
        <w:ind w:firstLine="560"/>
        <w:rPr>
          <w:rFonts w:hint="eastAsia" w:ascii="楷体" w:hAnsi="楷体" w:eastAsia="楷体"/>
          <w:sz w:val="28"/>
        </w:rPr>
      </w:pPr>
      <w:r>
        <w:rPr>
          <w:rFonts w:hint="eastAsia" w:ascii="楷体" w:hAnsi="楷体" w:eastAsia="楷体"/>
          <w:sz w:val="28"/>
        </w:rPr>
        <w:t>基于上述背景，本文试图回答以下问题：成功的非遗活化案例具备哪些共同特征？这些成功经验如何被大学生创业项目借鉴？现有政策存在哪些不足，如何优化？</w:t>
      </w:r>
    </w:p>
    <w:p>
      <w:pPr>
        <w:spacing w:after="160" w:line="400" w:lineRule="exact"/>
        <w:ind w:firstLine="560"/>
        <w:rPr>
          <w:rFonts w:hint="eastAsia" w:ascii="楷体" w:hAnsi="楷体" w:eastAsia="楷体"/>
          <w:sz w:val="28"/>
        </w:rPr>
      </w:pPr>
      <w:r>
        <w:rPr>
          <w:rFonts w:hint="eastAsia" w:ascii="楷体" w:hAnsi="楷体" w:eastAsia="楷体"/>
          <w:sz w:val="28"/>
        </w:rPr>
        <w:t>为此，本文选取故宫文创、贵州“锦绣计划”、花西子×苗族印象联名案例以及大学生“苗绣竹韵家居”项目作为调研对象，采用文献分析与比较研究法，归纳非遗活化的共性规律，为大学生非遗创业项目提供模式参照，并为政策优化提供建议。</w:t>
      </w:r>
    </w:p>
    <w:p>
      <w:pPr>
        <w:spacing w:after="160" w:line="400" w:lineRule="exact"/>
        <w:ind w:firstLine="560"/>
        <w:rPr>
          <w:rFonts w:hint="eastAsia" w:ascii="楷体" w:hAnsi="楷体" w:eastAsia="楷体"/>
          <w:sz w:val="28"/>
        </w:rPr>
      </w:pPr>
      <w:r>
        <w:rPr>
          <w:rFonts w:hint="eastAsia" w:ascii="楷体" w:hAnsi="楷体" w:eastAsia="楷体"/>
          <w:sz w:val="28"/>
        </w:rPr>
        <w:t>本研究的理论意义在于：在非遗活化研究与创业模式研究之间建立交叉对话，提炼可迁移的非遗成功要素。实践意义在于：为从事非遗类创新创业的大学生团队提供方法论参照，为高校创新创业教育提供教学案例，为非遗保护与乡村振兴政策优化提供依据。</w:t>
      </w:r>
    </w:p>
    <w:p>
      <w:pPr>
        <w:widowControl w:val="0"/>
        <w:numPr>
          <w:ilvl w:val="0"/>
          <w:numId w:val="2"/>
        </w:numPr>
        <w:spacing w:before="312" w:beforeLines="100" w:after="312" w:afterLines="100" w:line="240" w:lineRule="auto"/>
        <w:ind w:firstLine="560" w:firstLineChars="0"/>
        <w:jc w:val="center"/>
        <w:outlineLvl w:val="0"/>
        <w:rPr>
          <w:rFonts w:hint="eastAsia" w:ascii="楷体" w:hAnsi="楷体" w:eastAsia="楷体" w:cstheme="minorBidi"/>
          <w:b/>
          <w:kern w:val="44"/>
          <w:sz w:val="32"/>
          <w:szCs w:val="24"/>
          <w:lang w:val="en-US" w:eastAsia="zh-CN" w:bidi="ar-SA"/>
        </w:rPr>
      </w:pPr>
      <w:bookmarkStart w:id="8" w:name="_Toc29070"/>
      <w:bookmarkStart w:id="9" w:name="_Toc26672"/>
      <w:bookmarkStart w:id="10" w:name="_Toc70"/>
      <w:r>
        <w:rPr>
          <w:rFonts w:hint="eastAsia" w:ascii="楷体" w:hAnsi="楷体" w:eastAsia="楷体" w:cstheme="minorBidi"/>
          <w:b/>
          <w:kern w:val="44"/>
          <w:sz w:val="32"/>
          <w:szCs w:val="24"/>
          <w:lang w:val="en-US" w:eastAsia="zh-CN" w:bidi="ar-SA"/>
        </w:rPr>
        <w:t>典型案例调研分析</w:t>
      </w:r>
      <w:bookmarkEnd w:id="8"/>
      <w:bookmarkEnd w:id="9"/>
      <w:bookmarkEnd w:id="10"/>
    </w:p>
    <w:p>
      <w:pPr>
        <w:spacing w:after="160" w:line="400" w:lineRule="exact"/>
        <w:ind w:firstLine="560"/>
        <w:rPr>
          <w:rFonts w:hint="eastAsia" w:ascii="楷体" w:hAnsi="楷体" w:eastAsia="楷体"/>
          <w:sz w:val="28"/>
        </w:rPr>
      </w:pPr>
      <w:r>
        <w:rPr>
          <w:rFonts w:ascii="楷体" w:hAnsi="楷体" w:eastAsia="楷体"/>
          <w:sz w:val="28"/>
        </w:rPr>
        <w:t>选取故宫文创、贵州</w:t>
      </w:r>
      <w:r>
        <w:rPr>
          <w:rFonts w:hint="eastAsia" w:ascii="楷体" w:hAnsi="楷体" w:eastAsia="楷体"/>
          <w:sz w:val="28"/>
        </w:rPr>
        <w:t>“</w:t>
      </w:r>
      <w:r>
        <w:rPr>
          <w:rFonts w:ascii="楷体" w:hAnsi="楷体" w:eastAsia="楷体"/>
          <w:sz w:val="28"/>
        </w:rPr>
        <w:t>锦绣计划</w:t>
      </w:r>
      <w:r>
        <w:rPr>
          <w:rFonts w:hint="eastAsia" w:ascii="楷体" w:hAnsi="楷体" w:eastAsia="楷体"/>
          <w:sz w:val="28"/>
        </w:rPr>
        <w:t>”</w:t>
      </w:r>
      <w:r>
        <w:rPr>
          <w:rFonts w:ascii="楷体" w:hAnsi="楷体" w:eastAsia="楷体"/>
          <w:sz w:val="28"/>
        </w:rPr>
        <w:t>、花西子×苗族印象联名案例三个外部案例，分析其核心做法与成功要素，为后续提炼共性规律提供分析基础。</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ascii="楷体" w:hAnsi="楷体" w:eastAsia="楷体" w:cstheme="minorBidi"/>
          <w:b/>
          <w:kern w:val="2"/>
          <w:sz w:val="28"/>
          <w:szCs w:val="24"/>
          <w:lang w:val="en-US" w:eastAsia="zh-CN" w:bidi="ar-SA"/>
        </w:rPr>
        <w:t>故宫文创：IP授权与设计驱动模式</w:t>
      </w:r>
    </w:p>
    <w:p>
      <w:pPr>
        <w:spacing w:after="160" w:line="400" w:lineRule="exact"/>
        <w:ind w:firstLine="560"/>
        <w:rPr>
          <w:rFonts w:hint="eastAsia" w:ascii="楷体" w:hAnsi="楷体" w:eastAsia="楷体"/>
          <w:sz w:val="28"/>
        </w:rPr>
      </w:pPr>
      <w:r>
        <w:rPr>
          <w:rFonts w:ascii="楷体" w:hAnsi="楷体" w:eastAsia="楷体"/>
          <w:sz w:val="28"/>
        </w:rPr>
        <w:t>故宫文创被公认为国内文化IP开发的标杆。自2013年试水文创产品以来，其开发模式经历了从“贴图式”纪念品到“生活美学”产品的转型</w:t>
      </w:r>
      <w:r>
        <w:rPr>
          <w:rFonts w:ascii="楷体" w:hAnsi="楷体" w:eastAsia="楷体"/>
          <w:sz w:val="28"/>
          <w:vertAlign w:val="superscript"/>
        </w:rPr>
        <w:fldChar w:fldCharType="begin"/>
      </w:r>
      <w:r>
        <w:rPr>
          <w:rFonts w:ascii="楷体" w:hAnsi="楷体" w:eastAsia="楷体"/>
          <w:sz w:val="28"/>
          <w:vertAlign w:val="superscript"/>
        </w:rPr>
        <w:instrText xml:space="preserve"> REF _Ref14285 \r \h  \* MERGEFORMAT </w:instrText>
      </w:r>
      <w:r>
        <w:rPr>
          <w:rFonts w:ascii="楷体" w:hAnsi="楷体" w:eastAsia="楷体"/>
          <w:sz w:val="28"/>
          <w:vertAlign w:val="superscript"/>
        </w:rPr>
        <w:fldChar w:fldCharType="separate"/>
      </w:r>
      <w:r>
        <w:rPr>
          <w:rFonts w:ascii="楷体" w:hAnsi="楷体" w:eastAsia="楷体"/>
          <w:sz w:val="28"/>
          <w:vertAlign w:val="superscript"/>
        </w:rPr>
        <w:t>[9]</w:t>
      </w:r>
      <w:r>
        <w:rPr>
          <w:rFonts w:ascii="楷体" w:hAnsi="楷体" w:eastAsia="楷体"/>
          <w:sz w:val="28"/>
          <w:vertAlign w:val="superscript"/>
        </w:rPr>
        <w:fldChar w:fldCharType="end"/>
      </w:r>
      <w:r>
        <w:rPr>
          <w:rFonts w:ascii="楷体" w:hAnsi="楷体" w:eastAsia="楷体"/>
          <w:sz w:val="28"/>
        </w:rPr>
        <w:t>。目前，故宫文创已形成“IP授权+设计驱动+全品类开发”的成熟体系，涵盖家居、文具、服饰、美妆等多个领域，年销售额超过15亿元</w:t>
      </w:r>
      <w:r>
        <w:rPr>
          <w:rFonts w:ascii="楷体" w:hAnsi="楷体" w:eastAsia="楷体"/>
          <w:sz w:val="28"/>
          <w:vertAlign w:val="superscript"/>
        </w:rPr>
        <w:fldChar w:fldCharType="begin"/>
      </w:r>
      <w:r>
        <w:rPr>
          <w:rFonts w:ascii="楷体" w:hAnsi="楷体" w:eastAsia="楷体"/>
          <w:sz w:val="28"/>
          <w:vertAlign w:val="superscript"/>
        </w:rPr>
        <w:instrText xml:space="preserve"> REF _Ref14315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[10]</w:t>
      </w:r>
      <w:r>
        <w:rPr>
          <w:rFonts w:ascii="楷体" w:hAnsi="楷体" w:eastAsia="楷体"/>
          <w:sz w:val="28"/>
          <w:vertAlign w:val="superscript"/>
        </w:rPr>
        <w:fldChar w:fldCharType="end"/>
      </w:r>
      <w:r>
        <w:rPr>
          <w:rFonts w:ascii="楷体" w:hAnsi="楷体" w:eastAsia="楷体"/>
          <w:sz w:val="28"/>
        </w:rPr>
        <w:t>。</w:t>
      </w:r>
    </w:p>
    <w:p>
      <w:pPr>
        <w:spacing w:after="160" w:line="400" w:lineRule="exact"/>
        <w:ind w:firstLine="560"/>
        <w:rPr>
          <w:rFonts w:hint="eastAsia" w:ascii="楷体" w:hAnsi="楷体" w:eastAsia="楷体"/>
          <w:sz w:val="28"/>
        </w:rPr>
      </w:pPr>
      <w:r>
        <w:rPr>
          <w:rFonts w:ascii="楷体" w:hAnsi="楷体" w:eastAsia="楷体"/>
          <w:sz w:val="28"/>
        </w:rPr>
        <w:t>故宫文创的核心做法包括三个方面。其一，文化资源的数字化与授权体系构建。故宫博物院对馆藏文物进行了系统的数字化建档与纹样分类，建立了可授权的文化素材库，为产品设计提供源源不断的灵感来源</w:t>
      </w:r>
      <w:r>
        <w:rPr>
          <w:rFonts w:ascii="楷体" w:hAnsi="楷体" w:eastAsia="楷体"/>
          <w:sz w:val="28"/>
          <w:vertAlign w:val="superscript"/>
        </w:rPr>
        <w:fldChar w:fldCharType="begin"/>
      </w:r>
      <w:r>
        <w:rPr>
          <w:rFonts w:ascii="楷体" w:hAnsi="楷体" w:eastAsia="楷体"/>
          <w:sz w:val="28"/>
          <w:vertAlign w:val="superscript"/>
        </w:rPr>
        <w:instrText xml:space="preserve"> REF _Ref14341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[11]</w:t>
      </w:r>
      <w:r>
        <w:rPr>
          <w:rFonts w:ascii="楷体" w:hAnsi="楷体" w:eastAsia="楷体"/>
          <w:sz w:val="28"/>
          <w:vertAlign w:val="superscript"/>
        </w:rPr>
        <w:fldChar w:fldCharType="end"/>
      </w:r>
      <w:r>
        <w:rPr>
          <w:rFonts w:ascii="楷体" w:hAnsi="楷体" w:eastAsia="楷体"/>
          <w:sz w:val="28"/>
        </w:rPr>
        <w:t>。经过授权的文化素材为其商业化使用提供了清晰的法律保障。其二，设计转化的专业化运作。故宫与国内外知名设计师、设计机构合作，通过专业团队的深度介入，将传统纹样转化为符合当代审美的设计语言，避免了“土味文创”的尴尬。其三，渠道与营销的立体化布局。故宫文创不仅开设了多家线下体验店，还积极入驻电商平台，并通过社交媒体持续输出文化故事，形成了“文化种草——线上购买——线下体验”的闭环</w:t>
      </w:r>
      <w:r>
        <w:rPr>
          <w:rFonts w:ascii="楷体" w:hAnsi="楷体" w:eastAsia="楷体"/>
          <w:sz w:val="28"/>
          <w:vertAlign w:val="superscript"/>
        </w:rPr>
        <w:fldChar w:fldCharType="begin"/>
      </w:r>
      <w:r>
        <w:rPr>
          <w:rFonts w:ascii="楷体" w:hAnsi="楷体" w:eastAsia="楷体"/>
          <w:sz w:val="28"/>
          <w:vertAlign w:val="superscript"/>
        </w:rPr>
        <w:instrText xml:space="preserve"> REF _Ref14364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[12]</w:t>
      </w:r>
      <w:r>
        <w:rPr>
          <w:rFonts w:ascii="楷体" w:hAnsi="楷体" w:eastAsia="楷体"/>
          <w:sz w:val="28"/>
          <w:vertAlign w:val="superscript"/>
        </w:rPr>
        <w:fldChar w:fldCharType="end"/>
      </w:r>
      <w:r>
        <w:rPr>
          <w:rFonts w:ascii="楷体" w:hAnsi="楷体" w:eastAsia="楷体"/>
          <w:sz w:val="28"/>
        </w:rPr>
        <w:t>。</w:t>
      </w:r>
    </w:p>
    <w:p>
      <w:pPr>
        <w:spacing w:after="160" w:line="400" w:lineRule="exact"/>
        <w:ind w:firstLine="560"/>
        <w:rPr>
          <w:rFonts w:hint="eastAsia" w:ascii="楷体" w:hAnsi="楷体" w:eastAsia="楷体"/>
          <w:sz w:val="28"/>
        </w:rPr>
      </w:pPr>
      <w:r>
        <w:rPr>
          <w:rFonts w:ascii="楷体" w:hAnsi="楷体" w:eastAsia="楷体"/>
          <w:sz w:val="28"/>
        </w:rPr>
        <w:t>从可迁移性角度看，故宫文创模式揭示了“文化资源数字化+专业设计转化+立体渠道”的核心逻辑。但这一模式需要较强的资源基础，大学生项目难以复制其全品类开发策略，更适合聚焦单一品类做深做透。</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ascii="楷体" w:hAnsi="楷体" w:eastAsia="楷体" w:cstheme="minorBidi"/>
          <w:b/>
          <w:kern w:val="2"/>
          <w:sz w:val="28"/>
          <w:szCs w:val="24"/>
          <w:lang w:val="en-US" w:eastAsia="zh-CN" w:bidi="ar-SA"/>
        </w:rPr>
        <w:t>贵州</w:t>
      </w:r>
      <w:r>
        <w:rPr>
          <w:rFonts w:hint="eastAsia" w:ascii="楷体" w:hAnsi="楷体" w:eastAsia="楷体" w:cstheme="minorBidi"/>
          <w:b/>
          <w:kern w:val="2"/>
          <w:sz w:val="28"/>
          <w:szCs w:val="24"/>
          <w:lang w:val="en-US" w:eastAsia="zh-CN" w:bidi="ar-SA"/>
        </w:rPr>
        <w:t>“</w:t>
      </w:r>
      <w:r>
        <w:rPr>
          <w:rFonts w:ascii="楷体" w:hAnsi="楷体" w:eastAsia="楷体" w:cstheme="minorBidi"/>
          <w:b/>
          <w:kern w:val="2"/>
          <w:sz w:val="28"/>
          <w:szCs w:val="24"/>
          <w:lang w:val="en-US" w:eastAsia="zh-CN" w:bidi="ar-SA"/>
        </w:rPr>
        <w:t>锦绣计划”：政府主导的产业生态模式</w:t>
      </w:r>
    </w:p>
    <w:p>
      <w:pPr>
        <w:spacing w:after="160" w:line="400" w:lineRule="exact"/>
        <w:ind w:firstLine="560"/>
        <w:rPr>
          <w:rFonts w:hint="eastAsia" w:ascii="楷体" w:hAnsi="楷体" w:eastAsia="楷体"/>
          <w:sz w:val="28"/>
        </w:rPr>
      </w:pPr>
      <w:r>
        <w:rPr>
          <w:rFonts w:ascii="楷体" w:hAnsi="楷体" w:eastAsia="楷体"/>
          <w:sz w:val="28"/>
        </w:rPr>
        <w:t>贵州“锦绣计划”始于2013年，是由贵州省妇联牵头、多部门协同推进的妇女特色手工产业工程</w:t>
      </w:r>
      <w:r>
        <w:rPr>
          <w:rFonts w:ascii="楷体" w:hAnsi="楷体" w:eastAsia="楷体"/>
          <w:sz w:val="28"/>
          <w:vertAlign w:val="superscript"/>
        </w:rPr>
        <w:fldChar w:fldCharType="begin"/>
      </w:r>
      <w:r>
        <w:rPr>
          <w:rFonts w:ascii="楷体" w:hAnsi="楷体" w:eastAsia="楷体"/>
          <w:sz w:val="28"/>
          <w:vertAlign w:val="superscript"/>
        </w:rPr>
        <w:instrText xml:space="preserve"> REF _Ref11026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[4]</w:t>
      </w:r>
      <w:r>
        <w:rPr>
          <w:rFonts w:ascii="楷体" w:hAnsi="楷体" w:eastAsia="楷体"/>
          <w:sz w:val="28"/>
          <w:vertAlign w:val="superscript"/>
        </w:rPr>
        <w:fldChar w:fldCharType="end"/>
      </w:r>
      <w:r>
        <w:rPr>
          <w:rFonts w:ascii="楷体" w:hAnsi="楷体" w:eastAsia="楷体"/>
          <w:sz w:val="28"/>
        </w:rPr>
        <w:t>。该计划以“公司+协会+绣娘”为核心组织模式，在全省建成合作社1354家，带动50多万名妇女就业，实现年产值近百亿元</w:t>
      </w:r>
      <w:r>
        <w:rPr>
          <w:rFonts w:ascii="楷体" w:hAnsi="楷体" w:eastAsia="楷体"/>
          <w:sz w:val="28"/>
          <w:vertAlign w:val="superscript"/>
        </w:rPr>
        <w:fldChar w:fldCharType="begin"/>
      </w:r>
      <w:r>
        <w:rPr>
          <w:rFonts w:ascii="楷体" w:hAnsi="楷体" w:eastAsia="楷体"/>
          <w:sz w:val="28"/>
          <w:vertAlign w:val="superscript"/>
        </w:rPr>
        <w:instrText xml:space="preserve"> REF _Ref11026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[4]</w:t>
      </w:r>
      <w:r>
        <w:rPr>
          <w:rFonts w:ascii="楷体" w:hAnsi="楷体" w:eastAsia="楷体"/>
          <w:sz w:val="28"/>
          <w:vertAlign w:val="superscript"/>
        </w:rPr>
        <w:fldChar w:fldCharType="end"/>
      </w:r>
      <w:r>
        <w:rPr>
          <w:rFonts w:ascii="楷体" w:hAnsi="楷体" w:eastAsia="楷体"/>
          <w:sz w:val="28"/>
        </w:rPr>
        <w:t>。</w:t>
      </w:r>
    </w:p>
    <w:p>
      <w:pPr>
        <w:spacing w:after="160" w:line="400" w:lineRule="exact"/>
        <w:ind w:firstLine="560"/>
        <w:rPr>
          <w:rFonts w:hint="eastAsia" w:ascii="楷体" w:hAnsi="楷体" w:eastAsia="楷体"/>
          <w:sz w:val="28"/>
        </w:rPr>
      </w:pPr>
      <w:r>
        <w:rPr>
          <w:rFonts w:ascii="楷体" w:hAnsi="楷体" w:eastAsia="楷体"/>
          <w:sz w:val="28"/>
        </w:rPr>
        <w:t>“锦绣计划”的运作机制可概括为四个层面。一是建立绣娘培训体系，通过标准化技能培训提升产品质量稳定性，有效解决了分散化小农生产的品控难题。二是搭建产销对接平台，组织绣娘作品参加各类展销会，并与省内外企业建立长期采购关系，打通了从生产到市场的关键链路。三是培育地方品牌，打造“黔绣”“苗绣”等区域公用品牌，以品牌溢价提升产品附加值。四是探索数字化赋能，构建苗绣纹样数据库，支持设计创新，拓展沉浸式体验与数字化传播路径</w:t>
      </w:r>
      <w:r>
        <w:rPr>
          <w:rFonts w:ascii="楷体" w:hAnsi="楷体" w:eastAsia="楷体"/>
          <w:sz w:val="28"/>
          <w:vertAlign w:val="superscript"/>
        </w:rPr>
        <w:fldChar w:fldCharType="begin"/>
      </w:r>
      <w:r>
        <w:rPr>
          <w:rFonts w:ascii="楷体" w:hAnsi="楷体" w:eastAsia="楷体"/>
          <w:sz w:val="28"/>
          <w:vertAlign w:val="superscript"/>
        </w:rPr>
        <w:instrText xml:space="preserve"> REF _Ref11232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[5]</w:t>
      </w:r>
      <w:r>
        <w:rPr>
          <w:rFonts w:ascii="楷体" w:hAnsi="楷体" w:eastAsia="楷体"/>
          <w:sz w:val="28"/>
          <w:vertAlign w:val="superscript"/>
        </w:rPr>
        <w:fldChar w:fldCharType="end"/>
      </w:r>
      <w:r>
        <w:rPr>
          <w:rFonts w:ascii="楷体" w:hAnsi="楷体" w:eastAsia="楷体"/>
          <w:sz w:val="28"/>
        </w:rPr>
        <w:t>。</w:t>
      </w:r>
    </w:p>
    <w:p>
      <w:pPr>
        <w:spacing w:after="160" w:line="400" w:lineRule="exact"/>
        <w:ind w:firstLine="560"/>
        <w:rPr>
          <w:rFonts w:hint="eastAsia" w:ascii="楷体" w:hAnsi="楷体" w:eastAsia="楷体"/>
          <w:sz w:val="28"/>
        </w:rPr>
      </w:pPr>
      <w:r>
        <w:rPr>
          <w:rFonts w:ascii="楷体" w:hAnsi="楷体" w:eastAsia="楷体"/>
          <w:sz w:val="28"/>
        </w:rPr>
        <w:t>该模式的核心价值在于，它证明了政府主导的产业组织化可以有效弥补非遗传承个体分散化的先天不足。“公司+合作社+农户”的组织架构，为大学生与乡村绣娘的合作提供了制度参照。大学生团队可以通过主动对接地方“锦绣计划”等政策资源，争取培训补贴、展销机会和渠道对接，大幅降低创业门槛。</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ascii="楷体" w:hAnsi="楷体" w:eastAsia="楷体" w:cstheme="minorBidi"/>
          <w:b/>
          <w:kern w:val="2"/>
          <w:sz w:val="28"/>
          <w:szCs w:val="24"/>
          <w:lang w:val="en-US" w:eastAsia="zh-CN" w:bidi="ar-SA"/>
        </w:rPr>
        <w:t>花西子×苗族印象：跨界联名与数字化传播模式</w:t>
      </w:r>
    </w:p>
    <w:p>
      <w:pPr>
        <w:spacing w:after="160" w:line="400" w:lineRule="exact"/>
        <w:ind w:firstLine="560"/>
        <w:rPr>
          <w:rFonts w:hint="eastAsia" w:ascii="楷体" w:hAnsi="楷体" w:eastAsia="楷体"/>
          <w:sz w:val="28"/>
        </w:rPr>
      </w:pPr>
      <w:r>
        <w:rPr>
          <w:rFonts w:ascii="楷体" w:hAnsi="楷体" w:eastAsia="楷体"/>
          <w:sz w:val="28"/>
        </w:rPr>
        <w:t>2020年，国货美妆品牌花西子与苗族非遗技艺跨界合作，推出“苗族印象”系列产品，引发广泛关注</w:t>
      </w:r>
      <w:r>
        <w:rPr>
          <w:rFonts w:ascii="楷体" w:hAnsi="楷体" w:eastAsia="楷体"/>
          <w:sz w:val="28"/>
          <w:vertAlign w:val="superscript"/>
        </w:rPr>
        <w:fldChar w:fldCharType="begin"/>
      </w:r>
      <w:r>
        <w:rPr>
          <w:rFonts w:ascii="楷体" w:hAnsi="楷体" w:eastAsia="楷体"/>
          <w:sz w:val="28"/>
          <w:vertAlign w:val="superscript"/>
        </w:rPr>
        <w:instrText xml:space="preserve"> REF _Ref14491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[13]</w:t>
      </w:r>
      <w:r>
        <w:rPr>
          <w:rFonts w:ascii="楷体" w:hAnsi="楷体" w:eastAsia="楷体"/>
          <w:sz w:val="28"/>
          <w:vertAlign w:val="superscript"/>
        </w:rPr>
        <w:fldChar w:fldCharType="end"/>
      </w:r>
      <w:r>
        <w:rPr>
          <w:rFonts w:ascii="楷体" w:hAnsi="楷体" w:eastAsia="楷体"/>
          <w:sz w:val="28"/>
        </w:rPr>
        <w:t>。该案例的核心做法包括：深入贵州黔东南地区采风，将苗绣、苗银、蜡染等元素融入产品包装设计；邀请非遗传承人参与创作，拍摄纪录片讲述技艺背后的故事；通过头部主播直播、社交媒体话题营销等方式实现亿级曝光</w:t>
      </w:r>
      <w:r>
        <w:rPr>
          <w:rFonts w:ascii="楷体" w:hAnsi="楷体" w:eastAsia="楷体"/>
          <w:sz w:val="28"/>
          <w:vertAlign w:val="superscript"/>
        </w:rPr>
        <w:fldChar w:fldCharType="begin"/>
      </w:r>
      <w:r>
        <w:rPr>
          <w:rFonts w:ascii="楷体" w:hAnsi="楷体" w:eastAsia="楷体"/>
          <w:sz w:val="28"/>
          <w:vertAlign w:val="superscript"/>
        </w:rPr>
        <w:instrText xml:space="preserve"> REF _Ref14517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[14]</w:t>
      </w:r>
      <w:r>
        <w:rPr>
          <w:rFonts w:ascii="楷体" w:hAnsi="楷体" w:eastAsia="楷体"/>
          <w:sz w:val="28"/>
          <w:vertAlign w:val="superscript"/>
        </w:rPr>
        <w:fldChar w:fldCharType="end"/>
      </w:r>
      <w:r>
        <w:rPr>
          <w:rFonts w:ascii="楷体" w:hAnsi="楷体" w:eastAsia="楷体"/>
          <w:sz w:val="28"/>
        </w:rPr>
        <w:t>。</w:t>
      </w:r>
    </w:p>
    <w:p>
      <w:pPr>
        <w:spacing w:after="160" w:line="400" w:lineRule="exact"/>
        <w:ind w:firstLine="560"/>
        <w:rPr>
          <w:rFonts w:hint="eastAsia" w:ascii="楷体" w:hAnsi="楷体" w:eastAsia="楷体"/>
          <w:sz w:val="28"/>
        </w:rPr>
      </w:pPr>
      <w:r>
        <w:rPr>
          <w:rFonts w:ascii="楷体" w:hAnsi="楷体" w:eastAsia="楷体"/>
          <w:sz w:val="28"/>
        </w:rPr>
        <w:t>该案例的成功要素可归结为三点。第一，品牌势能加持。花西子本身已拥有较强的品牌认知度和年轻客群，联名款借此基础快速出圈，降低了消费者教育成本。第二，非遗元素的时尚化表达。产品设计并非简单堆砌非遗符号，而是进行了现代美学转化，使其符合都市女性的审美偏好。第三，数字化传播的精准触达。短视频、直播等数字工具的大量运用，将非遗故事转化为易于传播的内容形态，大幅降低了文化传播的成本与门槛。</w:t>
      </w:r>
    </w:p>
    <w:p>
      <w:pPr>
        <w:spacing w:after="160" w:line="400" w:lineRule="exact"/>
        <w:ind w:firstLine="560"/>
        <w:rPr>
          <w:rFonts w:hint="eastAsia" w:ascii="楷体" w:hAnsi="楷体" w:eastAsia="楷体"/>
          <w:sz w:val="28"/>
        </w:rPr>
      </w:pPr>
      <w:r>
        <w:rPr>
          <w:rFonts w:ascii="楷体" w:hAnsi="楷体" w:eastAsia="楷体"/>
          <w:sz w:val="28"/>
        </w:rPr>
        <w:t>对大学生创业的启示在于：一方面，可以与中小品牌、景区、民宿探索“轻联名”合作，以低成本方式实现获客</w:t>
      </w:r>
      <w:r>
        <w:rPr>
          <w:rFonts w:hint="eastAsia" w:ascii="楷体" w:hAnsi="楷体" w:eastAsia="楷体"/>
          <w:sz w:val="28"/>
        </w:rPr>
        <w:t>；</w:t>
      </w:r>
      <w:r>
        <w:rPr>
          <w:rFonts w:ascii="楷体" w:hAnsi="楷体" w:eastAsia="楷体"/>
          <w:sz w:val="28"/>
        </w:rPr>
        <w:t>另一方面，善用社交媒体进行内容营销，将非遗故事转化为可传播的短视频、图文素材，是人力财力有限条件下的可行路径。</w:t>
      </w:r>
    </w:p>
    <w:p>
      <w:pPr>
        <w:widowControl w:val="0"/>
        <w:numPr>
          <w:ilvl w:val="0"/>
          <w:numId w:val="2"/>
        </w:numPr>
        <w:spacing w:before="312" w:beforeLines="100" w:after="312" w:afterLines="100" w:line="240" w:lineRule="auto"/>
        <w:ind w:firstLine="560" w:firstLineChars="0"/>
        <w:jc w:val="center"/>
        <w:outlineLvl w:val="0"/>
        <w:rPr>
          <w:rFonts w:hint="eastAsia" w:ascii="楷体" w:hAnsi="楷体" w:eastAsia="楷体" w:cstheme="minorBidi"/>
          <w:b/>
          <w:kern w:val="44"/>
          <w:sz w:val="32"/>
          <w:szCs w:val="24"/>
          <w:lang w:val="en-US" w:eastAsia="zh-CN" w:bidi="ar-SA"/>
        </w:rPr>
      </w:pPr>
      <w:bookmarkStart w:id="11" w:name="_Toc28322"/>
      <w:bookmarkStart w:id="12" w:name="_Toc17081"/>
      <w:bookmarkStart w:id="13" w:name="_Toc32108"/>
      <w:r>
        <w:rPr>
          <w:rFonts w:hint="eastAsia" w:ascii="楷体" w:hAnsi="楷体" w:eastAsia="楷体" w:cstheme="minorBidi"/>
          <w:b/>
          <w:kern w:val="44"/>
          <w:sz w:val="32"/>
          <w:szCs w:val="24"/>
          <w:lang w:val="en-US" w:eastAsia="zh-CN" w:bidi="ar-SA"/>
        </w:rPr>
        <w:t>案例比较与共性规律提炼</w:t>
      </w:r>
      <w:bookmarkEnd w:id="11"/>
      <w:bookmarkEnd w:id="12"/>
      <w:bookmarkEnd w:id="13"/>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各案例核心要素的横向比较</w:t>
      </w:r>
    </w:p>
    <w:p>
      <w:pPr>
        <w:spacing w:after="160" w:line="400" w:lineRule="exact"/>
        <w:ind w:firstLine="560"/>
        <w:rPr>
          <w:rFonts w:hint="eastAsia" w:ascii="楷体" w:hAnsi="楷体" w:eastAsia="楷体"/>
          <w:sz w:val="28"/>
        </w:rPr>
      </w:pPr>
      <w:r>
        <w:rPr>
          <w:rFonts w:hint="eastAsia" w:ascii="楷体" w:hAnsi="楷体" w:eastAsia="楷体"/>
          <w:sz w:val="28"/>
        </w:rPr>
        <w:t>为便于比较，本文从资源禀赋、核心能力、资金模式、风险特征、可迁移性五个维度对各案例进行对比分析，结果如表1所示。</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8"/>
        <w:gridCol w:w="2928"/>
        <w:gridCol w:w="2622"/>
        <w:gridCol w:w="31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比较维度</w:t>
            </w:r>
          </w:p>
        </w:tc>
        <w:tc>
          <w:tcPr>
            <w:tcW w:w="1485"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故宫文创</w:t>
            </w:r>
          </w:p>
        </w:tc>
        <w:tc>
          <w:tcPr>
            <w:tcW w:w="1330"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贵州“锦绣计划”</w:t>
            </w:r>
          </w:p>
        </w:tc>
        <w:tc>
          <w:tcPr>
            <w:tcW w:w="1611"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花西子×苗族印象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资源禀赋</w:t>
            </w:r>
          </w:p>
        </w:tc>
        <w:tc>
          <w:tcPr>
            <w:tcW w:w="1485"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顶级文化IP、</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馆藏文物体系</w:t>
            </w:r>
          </w:p>
        </w:tc>
        <w:tc>
          <w:tcPr>
            <w:tcW w:w="1330"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政策支持、</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绣娘网络、</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地方竹资源</w:t>
            </w:r>
          </w:p>
        </w:tc>
        <w:tc>
          <w:tcPr>
            <w:tcW w:w="1611"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国货美妆品牌势能、</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成熟供应链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核心能力</w:t>
            </w:r>
          </w:p>
        </w:tc>
        <w:tc>
          <w:tcPr>
            <w:tcW w:w="1485"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设计转化、</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IP授权管理</w:t>
            </w:r>
          </w:p>
        </w:tc>
        <w:tc>
          <w:tcPr>
            <w:tcW w:w="1330"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组织培训、</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产销对接、</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品牌培育</w:t>
            </w:r>
          </w:p>
        </w:tc>
        <w:tc>
          <w:tcPr>
            <w:tcW w:w="1611"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品牌营销、</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社交媒体运营、</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联名策划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资金模式</w:t>
            </w:r>
          </w:p>
        </w:tc>
        <w:tc>
          <w:tcPr>
            <w:tcW w:w="1485"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自营+</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授权费收入</w:t>
            </w:r>
          </w:p>
        </w:tc>
        <w:tc>
          <w:tcPr>
            <w:tcW w:w="1330"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政府补贴+</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合作社自筹</w:t>
            </w:r>
          </w:p>
        </w:tc>
        <w:tc>
          <w:tcPr>
            <w:tcW w:w="1611"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品牌方投入+</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销售分成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风险特征</w:t>
            </w:r>
          </w:p>
        </w:tc>
        <w:tc>
          <w:tcPr>
            <w:tcW w:w="1485"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低</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（成熟体系、品牌溢价）</w:t>
            </w:r>
          </w:p>
        </w:tc>
        <w:tc>
          <w:tcPr>
            <w:tcW w:w="1330"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中</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（依赖政策持续性）</w:t>
            </w:r>
          </w:p>
        </w:tc>
        <w:tc>
          <w:tcPr>
            <w:tcW w:w="1611"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中</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（联名效果不确定）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可迁移性</w:t>
            </w:r>
          </w:p>
        </w:tc>
        <w:tc>
          <w:tcPr>
            <w:tcW w:w="1485"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中</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（需较强资源基础）</w:t>
            </w:r>
          </w:p>
        </w:tc>
        <w:tc>
          <w:tcPr>
            <w:tcW w:w="1330"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高</w:t>
            </w:r>
          </w:p>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（政策模式可复制）</w:t>
            </w:r>
          </w:p>
        </w:tc>
        <w:tc>
          <w:tcPr>
            <w:tcW w:w="1611" w:type="pct"/>
            <w:vAlign w:val="center"/>
          </w:tcPr>
          <w:p>
            <w:pPr>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中</w:t>
            </w:r>
          </w:p>
          <w:p>
            <w:pPr>
              <w:keepNext/>
              <w:spacing w:after="0" w:line="300" w:lineRule="atLeast"/>
              <w:ind w:firstLine="0" w:firstLineChars="0"/>
              <w:jc w:val="center"/>
              <w:rPr>
                <w:rFonts w:hint="eastAsia" w:ascii="楷体" w:hAnsi="楷体" w:eastAsia="楷体"/>
                <w:sz w:val="24"/>
                <w:szCs w:val="22"/>
              </w:rPr>
            </w:pPr>
            <w:r>
              <w:rPr>
                <w:rFonts w:hint="eastAsia" w:ascii="楷体" w:hAnsi="楷体" w:eastAsia="楷体"/>
                <w:sz w:val="24"/>
                <w:szCs w:val="22"/>
              </w:rPr>
              <w:t>（需品牌基础）</w:t>
            </w:r>
          </w:p>
        </w:tc>
      </w:tr>
    </w:tbl>
    <w:p>
      <w:pPr>
        <w:pStyle w:val="11"/>
        <w:spacing w:after="0"/>
        <w:ind w:firstLine="0" w:firstLineChars="0"/>
        <w:jc w:val="center"/>
        <w:rPr>
          <w:rFonts w:hint="eastAsia" w:ascii="楷体" w:hAnsi="楷体" w:eastAsia="楷体"/>
          <w:sz w:val="22"/>
          <w:szCs w:val="22"/>
        </w:rPr>
      </w:pPr>
      <w:r>
        <w:rPr>
          <w:rFonts w:hint="eastAsia" w:ascii="楷体" w:hAnsi="楷体" w:eastAsia="楷体"/>
          <w:sz w:val="22"/>
          <w:szCs w:val="22"/>
        </w:rPr>
        <w:t xml:space="preserve">表格 </w:t>
      </w:r>
      <w:r>
        <w:rPr>
          <w:rFonts w:ascii="楷体" w:hAnsi="楷体" w:eastAsia="楷体"/>
          <w:sz w:val="22"/>
          <w:szCs w:val="22"/>
        </w:rPr>
        <w:fldChar w:fldCharType="begin"/>
      </w:r>
      <w:r>
        <w:rPr>
          <w:rFonts w:ascii="楷体" w:hAnsi="楷体" w:eastAsia="楷体"/>
          <w:sz w:val="22"/>
          <w:szCs w:val="22"/>
        </w:rPr>
        <w:instrText xml:space="preserve"> </w:instrText>
      </w:r>
      <w:r>
        <w:rPr>
          <w:rFonts w:hint="eastAsia" w:ascii="楷体" w:hAnsi="楷体" w:eastAsia="楷体"/>
          <w:sz w:val="22"/>
          <w:szCs w:val="22"/>
        </w:rPr>
        <w:instrText xml:space="preserve">SEQ 表格 \* ARABIC</w:instrText>
      </w:r>
      <w:r>
        <w:rPr>
          <w:rFonts w:ascii="楷体" w:hAnsi="楷体" w:eastAsia="楷体"/>
          <w:sz w:val="22"/>
          <w:szCs w:val="22"/>
        </w:rPr>
        <w:instrText xml:space="preserve"> </w:instrText>
      </w:r>
      <w:r>
        <w:rPr>
          <w:rFonts w:ascii="楷体" w:hAnsi="楷体" w:eastAsia="楷体"/>
          <w:sz w:val="22"/>
          <w:szCs w:val="22"/>
        </w:rPr>
        <w:fldChar w:fldCharType="separate"/>
      </w:r>
      <w:r>
        <w:rPr>
          <w:rFonts w:ascii="楷体" w:hAnsi="楷体" w:eastAsia="楷体"/>
          <w:sz w:val="22"/>
          <w:szCs w:val="22"/>
        </w:rPr>
        <w:t>1</w:t>
      </w:r>
      <w:r>
        <w:rPr>
          <w:rFonts w:ascii="楷体" w:hAnsi="楷体" w:eastAsia="楷体"/>
          <w:sz w:val="22"/>
          <w:szCs w:val="22"/>
        </w:rPr>
        <w:fldChar w:fldCharType="end"/>
      </w:r>
      <w:r>
        <w:rPr>
          <w:rFonts w:hint="eastAsia" w:ascii="楷体" w:hAnsi="楷体" w:eastAsia="楷体"/>
          <w:sz w:val="22"/>
          <w:szCs w:val="22"/>
        </w:rPr>
        <w:t xml:space="preserve"> 故宫文创、贵州“锦绣计划”、花西子案例对比</w:t>
      </w:r>
    </w:p>
    <w:p>
      <w:pPr>
        <w:spacing w:after="160" w:line="400" w:lineRule="exact"/>
        <w:ind w:firstLine="560"/>
        <w:rPr>
          <w:rFonts w:hint="eastAsia" w:ascii="楷体" w:hAnsi="楷体" w:eastAsia="楷体"/>
          <w:sz w:val="28"/>
        </w:rPr>
      </w:pPr>
      <w:r>
        <w:rPr>
          <w:rFonts w:ascii="楷体" w:hAnsi="楷体" w:eastAsia="楷体"/>
          <w:sz w:val="28"/>
        </w:rPr>
        <w:t>从表1可以看出，三个案例在资源禀赋和资金模式上差异显著，但核心能力维度存在重要共性：设计转化、组织协同、用户触达是各类案例都需具备的关键能力。这表明，无论资源条件如何，非遗活化的核心逻辑是一致的。资源匮乏的大学生项目，可以在理解这一逻辑的基础上，寻找符合自身条件的替代性方案。</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共性一：文化符号的当代设计</w:t>
      </w:r>
    </w:p>
    <w:p>
      <w:pPr>
        <w:spacing w:after="160" w:line="400" w:lineRule="exact"/>
        <w:ind w:firstLine="560"/>
        <w:rPr>
          <w:rFonts w:hint="eastAsia" w:ascii="楷体" w:hAnsi="楷体" w:eastAsia="楷体"/>
          <w:sz w:val="28"/>
        </w:rPr>
      </w:pPr>
      <w:r>
        <w:rPr>
          <w:rFonts w:ascii="楷体" w:hAnsi="楷体" w:eastAsia="楷体"/>
          <w:sz w:val="28"/>
        </w:rPr>
        <w:t>三个案例无一例外地强调了对传统文化符号进行当代设计转化的重要性。故宫文创将宫廷纹样转化为生活美学产品，避免了“老古董”式的呆板呈现</w:t>
      </w:r>
      <w:r>
        <w:rPr>
          <w:rFonts w:ascii="楷体" w:hAnsi="楷体" w:eastAsia="楷体"/>
          <w:sz w:val="28"/>
          <w:vertAlign w:val="superscript"/>
        </w:rPr>
        <w:fldChar w:fldCharType="begin"/>
      </w:r>
      <w:r>
        <w:rPr>
          <w:rFonts w:ascii="楷体" w:hAnsi="楷体" w:eastAsia="楷体"/>
          <w:sz w:val="28"/>
          <w:vertAlign w:val="superscript"/>
        </w:rPr>
        <w:instrText xml:space="preserve"> REF _Ref14285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[9]</w:t>
      </w:r>
      <w:r>
        <w:rPr>
          <w:rFonts w:ascii="楷体" w:hAnsi="楷体" w:eastAsia="楷体"/>
          <w:sz w:val="28"/>
          <w:vertAlign w:val="superscript"/>
        </w:rPr>
        <w:fldChar w:fldCharType="end"/>
      </w:r>
      <w:r>
        <w:rPr>
          <w:rFonts w:ascii="楷体" w:hAnsi="楷体" w:eastAsia="楷体"/>
          <w:sz w:val="28"/>
          <w:vertAlign w:val="superscript"/>
        </w:rPr>
        <w:fldChar w:fldCharType="begin"/>
      </w:r>
      <w:r>
        <w:rPr>
          <w:rFonts w:ascii="楷体" w:hAnsi="楷体" w:eastAsia="楷体"/>
          <w:sz w:val="28"/>
          <w:vertAlign w:val="superscript"/>
        </w:rPr>
        <w:instrText xml:space="preserve"> REF _Ref14341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[11]</w:t>
      </w:r>
      <w:r>
        <w:rPr>
          <w:rFonts w:ascii="楷体" w:hAnsi="楷体" w:eastAsia="楷体"/>
          <w:sz w:val="28"/>
          <w:vertAlign w:val="superscript"/>
        </w:rPr>
        <w:fldChar w:fldCharType="end"/>
      </w:r>
      <w:r>
        <w:rPr>
          <w:rFonts w:ascii="楷体" w:hAnsi="楷体" w:eastAsia="楷体"/>
          <w:sz w:val="28"/>
        </w:rPr>
        <w:t>。贵州“锦绣计划”鼓励绣娘在传统纹样基础上加入现代审美元素，开发符合都市消费需求的创新产品</w:t>
      </w:r>
      <w:r>
        <w:rPr>
          <w:rFonts w:ascii="楷体" w:hAnsi="楷体" w:eastAsia="楷体"/>
          <w:sz w:val="28"/>
          <w:vertAlign w:val="superscript"/>
        </w:rPr>
        <w:fldChar w:fldCharType="begin"/>
      </w:r>
      <w:r>
        <w:rPr>
          <w:rFonts w:ascii="楷体" w:hAnsi="楷体" w:eastAsia="楷体"/>
          <w:sz w:val="28"/>
          <w:vertAlign w:val="superscript"/>
        </w:rPr>
        <w:instrText xml:space="preserve"> REF _Ref11026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[4]</w:t>
      </w:r>
      <w:r>
        <w:rPr>
          <w:rFonts w:ascii="楷体" w:hAnsi="楷体" w:eastAsia="楷体"/>
          <w:sz w:val="28"/>
          <w:vertAlign w:val="superscript"/>
        </w:rPr>
        <w:fldChar w:fldCharType="end"/>
      </w:r>
      <w:r>
        <w:rPr>
          <w:rFonts w:ascii="楷体" w:hAnsi="楷体" w:eastAsia="楷体"/>
          <w:sz w:val="28"/>
        </w:rPr>
        <w:t>。花西子×苗族印象则将苗绣、苗银符号进行时尚化再造，使其适配美妆产品的包装语言</w:t>
      </w:r>
      <w:r>
        <w:rPr>
          <w:rFonts w:ascii="楷体" w:hAnsi="楷体" w:eastAsia="楷体"/>
          <w:sz w:val="28"/>
          <w:vertAlign w:val="superscript"/>
        </w:rPr>
        <w:fldChar w:fldCharType="begin"/>
      </w:r>
      <w:r>
        <w:rPr>
          <w:rFonts w:ascii="楷体" w:hAnsi="楷体" w:eastAsia="楷体"/>
          <w:sz w:val="28"/>
          <w:vertAlign w:val="superscript"/>
        </w:rPr>
        <w:instrText xml:space="preserve"> REF _Ref14491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[13]</w:t>
      </w:r>
      <w:r>
        <w:rPr>
          <w:rFonts w:ascii="楷体" w:hAnsi="楷体" w:eastAsia="楷体"/>
          <w:sz w:val="28"/>
          <w:vertAlign w:val="superscript"/>
        </w:rPr>
        <w:fldChar w:fldCharType="end"/>
      </w:r>
      <w:r>
        <w:rPr>
          <w:rFonts w:ascii="楷体" w:hAnsi="楷体" w:eastAsia="楷体"/>
          <w:sz w:val="28"/>
          <w:vertAlign w:val="superscript"/>
        </w:rPr>
        <w:fldChar w:fldCharType="begin"/>
      </w:r>
      <w:r>
        <w:rPr>
          <w:rFonts w:ascii="楷体" w:hAnsi="楷体" w:eastAsia="楷体"/>
          <w:sz w:val="28"/>
          <w:vertAlign w:val="superscript"/>
        </w:rPr>
        <w:instrText xml:space="preserve"> REF _Ref14517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[14]</w:t>
      </w:r>
      <w:r>
        <w:rPr>
          <w:rFonts w:ascii="楷体" w:hAnsi="楷体" w:eastAsia="楷体"/>
          <w:sz w:val="28"/>
          <w:vertAlign w:val="superscript"/>
        </w:rPr>
        <w:fldChar w:fldCharType="end"/>
      </w:r>
      <w:r>
        <w:rPr>
          <w:rFonts w:ascii="楷体" w:hAnsi="楷体" w:eastAsia="楷体"/>
          <w:sz w:val="28"/>
        </w:rPr>
        <w:t>。</w:t>
      </w:r>
    </w:p>
    <w:p>
      <w:pPr>
        <w:spacing w:after="160" w:line="400" w:lineRule="exact"/>
        <w:ind w:firstLine="560"/>
        <w:rPr>
          <w:rFonts w:hint="eastAsia" w:ascii="楷体" w:hAnsi="楷体" w:eastAsia="楷体"/>
          <w:sz w:val="28"/>
        </w:rPr>
      </w:pPr>
      <w:r>
        <w:rPr>
          <w:rFonts w:ascii="楷体" w:hAnsi="楷体" w:eastAsia="楷体"/>
          <w:sz w:val="28"/>
        </w:rPr>
        <w:t>这一规律的深层逻辑在于：非遗的核心价值在于其文化内核，而非具体的产品形态。只有当传统符号与当代生活场景、审美趣味产生共鸣时，非遗才能真正“活”起来。对大学生创业项目而言，设计转化能力是可以在校园内低成本培养和展示的核心竞争力。</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共性二：多方协作的产业生态构建</w:t>
      </w:r>
    </w:p>
    <w:p>
      <w:pPr>
        <w:spacing w:after="160" w:line="400" w:lineRule="exact"/>
        <w:ind w:firstLine="560"/>
        <w:rPr>
          <w:rFonts w:hint="eastAsia" w:ascii="楷体" w:hAnsi="楷体" w:eastAsia="楷体"/>
          <w:sz w:val="28"/>
        </w:rPr>
      </w:pPr>
      <w:r>
        <w:rPr>
          <w:rFonts w:ascii="楷体" w:hAnsi="楷体" w:eastAsia="楷体"/>
          <w:sz w:val="28"/>
        </w:rPr>
        <w:t>单一主体难以完成非遗活化的全链条任务。故宫文创依赖设计机构、生产商、渠道商的协作网络</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_Ref14315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[10]</w:t>
      </w:r>
      <w:r>
        <w:rPr>
          <w:rFonts w:hint="eastAsia" w:ascii="楷体" w:hAnsi="楷体" w:eastAsia="楷体"/>
          <w:sz w:val="28"/>
          <w:vertAlign w:val="superscript"/>
        </w:rPr>
        <w:fldChar w:fldCharType="end"/>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_Ref14364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[12]</w:t>
      </w:r>
      <w:r>
        <w:rPr>
          <w:rFonts w:hint="eastAsia" w:ascii="楷体" w:hAnsi="楷体" w:eastAsia="楷体"/>
          <w:sz w:val="28"/>
          <w:vertAlign w:val="superscript"/>
        </w:rPr>
        <w:fldChar w:fldCharType="end"/>
      </w:r>
      <w:r>
        <w:rPr>
          <w:rFonts w:ascii="楷体" w:hAnsi="楷体" w:eastAsia="楷体"/>
          <w:sz w:val="28"/>
        </w:rPr>
        <w:t>。贵州“锦绣计划”构建了“政府+妇联+合作社+绣娘+企业”的多元协作体系</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_Ref11026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[4]</w:t>
      </w:r>
      <w:r>
        <w:rPr>
          <w:rFonts w:hint="eastAsia" w:ascii="楷体" w:hAnsi="楷体" w:eastAsia="楷体"/>
          <w:sz w:val="28"/>
          <w:vertAlign w:val="superscript"/>
        </w:rPr>
        <w:fldChar w:fldCharType="end"/>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_Ref11232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[5]</w:t>
      </w:r>
      <w:r>
        <w:rPr>
          <w:rFonts w:hint="eastAsia" w:ascii="楷体" w:hAnsi="楷体" w:eastAsia="楷体"/>
          <w:sz w:val="28"/>
          <w:vertAlign w:val="superscript"/>
        </w:rPr>
        <w:fldChar w:fldCharType="end"/>
      </w:r>
      <w:r>
        <w:rPr>
          <w:rFonts w:ascii="楷体" w:hAnsi="楷体" w:eastAsia="楷体"/>
          <w:sz w:val="28"/>
        </w:rPr>
        <w:t>。花西子×苗族印象联名涉及品牌方、非遗传承人、纪录片团队、直播平台等多方协同</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_Ref14517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[14]</w:t>
      </w:r>
      <w:r>
        <w:rPr>
          <w:rFonts w:hint="eastAsia" w:ascii="楷体" w:hAnsi="楷体" w:eastAsia="楷体"/>
          <w:sz w:val="28"/>
          <w:vertAlign w:val="superscript"/>
        </w:rPr>
        <w:fldChar w:fldCharType="end"/>
      </w:r>
      <w:r>
        <w:rPr>
          <w:rFonts w:ascii="楷体" w:hAnsi="楷体" w:eastAsia="楷体"/>
          <w:sz w:val="28"/>
        </w:rPr>
        <w:t>。三者共同表明，非遗活化本质上是一种生态系统构建，而非单点突破。</w:t>
      </w:r>
    </w:p>
    <w:p>
      <w:pPr>
        <w:spacing w:after="160" w:line="400" w:lineRule="exact"/>
        <w:ind w:firstLine="560"/>
        <w:rPr>
          <w:rFonts w:hint="eastAsia" w:ascii="楷体" w:hAnsi="楷体" w:eastAsia="楷体"/>
          <w:sz w:val="28"/>
        </w:rPr>
      </w:pPr>
      <w:r>
        <w:rPr>
          <w:rFonts w:ascii="楷体" w:hAnsi="楷体" w:eastAsia="楷体"/>
          <w:sz w:val="28"/>
        </w:rPr>
        <w:t>对大学生团队的启示在于：不必凡事亲力亲为，而应善于识别和连接外部资源，通过合作弥补自身短板。资源禀赋的不足，可以通过协作网络的广度和质量来弥补。</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共性三：轻资产起步与分阶段投入</w:t>
      </w:r>
    </w:p>
    <w:p>
      <w:pPr>
        <w:spacing w:after="160" w:line="400" w:lineRule="exact"/>
        <w:ind w:firstLine="560"/>
        <w:rPr>
          <w:rFonts w:hint="eastAsia" w:ascii="楷体" w:hAnsi="楷体" w:eastAsia="楷体"/>
          <w:sz w:val="28"/>
        </w:rPr>
      </w:pPr>
      <w:r>
        <w:rPr>
          <w:rFonts w:ascii="楷体" w:hAnsi="楷体" w:eastAsia="楷体"/>
          <w:sz w:val="28"/>
        </w:rPr>
        <w:t>除拥有雄厚资源的故宫文创外，其余两个案例均体现出“轻资产起步”的特征。贵州“锦绣计划”早期主要依靠政策动员和组织网络，通过绣娘培训和小额订单逐步扩大规模</w:t>
      </w:r>
      <w:r>
        <w:rPr>
          <w:rFonts w:ascii="楷体" w:hAnsi="楷体" w:eastAsia="楷体"/>
          <w:sz w:val="28"/>
          <w:vertAlign w:val="superscript"/>
        </w:rPr>
        <w:fldChar w:fldCharType="begin"/>
      </w:r>
      <w:r>
        <w:rPr>
          <w:rFonts w:ascii="楷体" w:hAnsi="楷体" w:eastAsia="楷体"/>
          <w:sz w:val="28"/>
          <w:vertAlign w:val="superscript"/>
        </w:rPr>
        <w:instrText xml:space="preserve"> REF _Ref11026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[4]</w:t>
      </w:r>
      <w:r>
        <w:rPr>
          <w:rFonts w:ascii="楷体" w:hAnsi="楷体" w:eastAsia="楷体"/>
          <w:sz w:val="28"/>
          <w:vertAlign w:val="superscript"/>
        </w:rPr>
        <w:fldChar w:fldCharType="end"/>
      </w:r>
      <w:r>
        <w:rPr>
          <w:rFonts w:ascii="楷体" w:hAnsi="楷体" w:eastAsia="楷体"/>
          <w:sz w:val="28"/>
        </w:rPr>
        <w:t>。花西子×苗族印象的联名款采用“小批量测试+爆款放大”策略，先通过社交媒体验证用户反响再决定产能</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_Ref14517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[14]</w:t>
      </w:r>
      <w:r>
        <w:rPr>
          <w:rFonts w:hint="eastAsia" w:ascii="楷体" w:hAnsi="楷体" w:eastAsia="楷体"/>
          <w:sz w:val="28"/>
          <w:vertAlign w:val="superscript"/>
        </w:rPr>
        <w:fldChar w:fldCharType="end"/>
      </w:r>
      <w:r>
        <w:rPr>
          <w:rFonts w:ascii="楷体" w:hAnsi="楷体" w:eastAsia="楷体"/>
          <w:sz w:val="28"/>
        </w:rPr>
        <w:t>。</w:t>
      </w:r>
    </w:p>
    <w:p>
      <w:pPr>
        <w:spacing w:after="160" w:line="400" w:lineRule="exact"/>
        <w:ind w:firstLine="560"/>
        <w:rPr>
          <w:rFonts w:hint="eastAsia" w:ascii="楷体" w:hAnsi="楷体" w:eastAsia="楷体"/>
          <w:sz w:val="28"/>
        </w:rPr>
      </w:pPr>
      <w:r>
        <w:rPr>
          <w:rFonts w:ascii="楷体" w:hAnsi="楷体" w:eastAsia="楷体"/>
          <w:sz w:val="28"/>
        </w:rPr>
        <w:t>这一规律对大学生创业具有直接指导意义：应先验证需求，再投入生产；先做设计，再做产品；先谈合作，再建资产。分阶段投入既降低了资金压力，也减少了方向性错误带来的沉没成本。</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共性四：知识产权保护与品牌建设先行</w:t>
      </w:r>
    </w:p>
    <w:p>
      <w:pPr>
        <w:spacing w:after="160" w:line="400" w:lineRule="exact"/>
        <w:ind w:firstLine="560"/>
        <w:rPr>
          <w:rFonts w:hint="eastAsia" w:ascii="楷体" w:hAnsi="楷体" w:eastAsia="楷体"/>
          <w:sz w:val="28"/>
        </w:rPr>
      </w:pPr>
      <w:r>
        <w:rPr>
          <w:rFonts w:ascii="楷体" w:hAnsi="楷体" w:eastAsia="楷体"/>
          <w:sz w:val="28"/>
        </w:rPr>
        <w:t>成功的非遗活化案例普遍重视知识产权保护。故宫文创拥有完善的商标、专利和版权保护体系</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_Ref14285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[9]</w:t>
      </w:r>
      <w:r>
        <w:rPr>
          <w:rFonts w:hint="eastAsia" w:ascii="楷体" w:hAnsi="楷体" w:eastAsia="楷体"/>
          <w:sz w:val="28"/>
          <w:vertAlign w:val="superscript"/>
        </w:rPr>
        <w:fldChar w:fldCharType="end"/>
      </w:r>
      <w:r>
        <w:rPr>
          <w:rFonts w:ascii="楷体" w:hAnsi="楷体" w:eastAsia="楷体"/>
          <w:sz w:val="28"/>
        </w:rPr>
        <w:t>。花西子的“苗族印象”联名款在发布前即完成了核心设计的外观专利申请</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_Ref14517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[14]</w:t>
      </w:r>
      <w:r>
        <w:rPr>
          <w:rFonts w:hint="eastAsia" w:ascii="楷体" w:hAnsi="楷体" w:eastAsia="楷体"/>
          <w:sz w:val="28"/>
          <w:vertAlign w:val="superscript"/>
        </w:rPr>
        <w:fldChar w:fldCharType="end"/>
      </w:r>
      <w:r>
        <w:rPr>
          <w:rFonts w:ascii="楷体" w:hAnsi="楷体" w:eastAsia="楷体"/>
          <w:sz w:val="28"/>
        </w:rPr>
        <w:t>。贵州“锦绣计划”推动注册“黔绣”等区域公用品牌，并建立了纹样使用授权机制</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_Ref11026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[4]</w:t>
      </w:r>
      <w:r>
        <w:rPr>
          <w:rFonts w:hint="eastAsia" w:ascii="楷体" w:hAnsi="楷体" w:eastAsia="楷体"/>
          <w:sz w:val="28"/>
          <w:vertAlign w:val="superscript"/>
        </w:rPr>
        <w:fldChar w:fldCharType="end"/>
      </w:r>
      <w:r>
        <w:rPr>
          <w:rFonts w:ascii="楷体" w:hAnsi="楷体" w:eastAsia="楷体"/>
          <w:sz w:val="28"/>
        </w:rPr>
        <w:t>。</w:t>
      </w:r>
    </w:p>
    <w:p>
      <w:pPr>
        <w:spacing w:after="160" w:line="400" w:lineRule="exact"/>
        <w:ind w:firstLine="560"/>
        <w:rPr>
          <w:rFonts w:hint="eastAsia" w:ascii="楷体" w:hAnsi="楷体" w:eastAsia="楷体"/>
          <w:sz w:val="28"/>
        </w:rPr>
      </w:pPr>
      <w:r>
        <w:rPr>
          <w:rFonts w:ascii="楷体" w:hAnsi="楷体" w:eastAsia="楷体"/>
          <w:sz w:val="28"/>
        </w:rPr>
        <w:t>在非遗产品领域，纹样、设计、品牌是最容易被仿制的资产，必须在产品面市前完成知识产权布局，否则后续维权成本极高。这一规律对大学生团队尤为重要——在资源有限的情况下，知识产权可能成为最核心的竞争壁垒。</w:t>
      </w:r>
    </w:p>
    <w:p>
      <w:pPr>
        <w:widowControl w:val="0"/>
        <w:numPr>
          <w:ilvl w:val="0"/>
          <w:numId w:val="2"/>
        </w:numPr>
        <w:spacing w:before="312" w:beforeLines="100" w:after="312" w:afterLines="100" w:line="240" w:lineRule="auto"/>
        <w:ind w:firstLine="560" w:firstLineChars="0"/>
        <w:jc w:val="center"/>
        <w:outlineLvl w:val="0"/>
        <w:rPr>
          <w:rFonts w:hint="eastAsia" w:ascii="楷体" w:hAnsi="楷体" w:eastAsia="楷体" w:cstheme="minorBidi"/>
          <w:b/>
          <w:kern w:val="44"/>
          <w:sz w:val="32"/>
          <w:szCs w:val="24"/>
          <w:lang w:val="en-US" w:eastAsia="zh-CN" w:bidi="ar-SA"/>
        </w:rPr>
      </w:pPr>
      <w:bookmarkStart w:id="14" w:name="_Toc2383"/>
      <w:bookmarkStart w:id="15" w:name="_Toc26309"/>
      <w:bookmarkStart w:id="16" w:name="_Toc2186"/>
      <w:r>
        <w:rPr>
          <w:rFonts w:ascii="楷体" w:hAnsi="楷体" w:eastAsia="楷体" w:cstheme="minorBidi"/>
          <w:b/>
          <w:kern w:val="44"/>
          <w:sz w:val="32"/>
          <w:szCs w:val="24"/>
          <w:lang w:val="en-US" w:eastAsia="zh-CN" w:bidi="ar-SA"/>
        </w:rPr>
        <w:t>对大学生非遗创业项目的启示</w:t>
      </w:r>
      <w:bookmarkEnd w:id="14"/>
      <w:bookmarkEnd w:id="15"/>
      <w:bookmarkEnd w:id="16"/>
    </w:p>
    <w:p>
      <w:pPr>
        <w:spacing w:after="160" w:line="400" w:lineRule="exact"/>
        <w:ind w:firstLine="560"/>
        <w:rPr>
          <w:rFonts w:hint="eastAsia" w:ascii="楷体" w:hAnsi="楷体" w:eastAsia="楷体"/>
          <w:sz w:val="28"/>
        </w:rPr>
      </w:pPr>
      <w:r>
        <w:rPr>
          <w:rFonts w:ascii="楷体" w:hAnsi="楷体" w:eastAsia="楷体"/>
          <w:sz w:val="28"/>
        </w:rPr>
        <w:t>上述三个外部案例及其共性规律表明，设计转化、生态协作、轻资产策略与知识产权保护是非遗活化的关键成功要素。但这些经验在资金匮乏、供应链缺失的大学生创业场景中需要因地制宜地调适。“苗绣竹韵家居”项目为此提供了恰当的观察样本。</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ascii="楷体" w:hAnsi="楷体" w:eastAsia="楷体" w:cstheme="minorBidi"/>
          <w:b/>
          <w:kern w:val="2"/>
          <w:sz w:val="28"/>
          <w:szCs w:val="24"/>
          <w:lang w:val="en-US" w:eastAsia="zh-CN" w:bidi="ar-SA"/>
        </w:rPr>
        <w:t xml:space="preserve"> “苗绣竹韵家居”项目概况</w:t>
      </w:r>
    </w:p>
    <w:p>
      <w:pPr>
        <w:spacing w:after="160" w:line="400" w:lineRule="exact"/>
        <w:ind w:firstLine="560"/>
        <w:rPr>
          <w:rFonts w:hint="eastAsia" w:ascii="楷体" w:hAnsi="楷体" w:eastAsia="楷体"/>
          <w:sz w:val="28"/>
        </w:rPr>
      </w:pPr>
      <w:r>
        <w:rPr>
          <w:rFonts w:ascii="楷体" w:hAnsi="楷体" w:eastAsia="楷体"/>
          <w:sz w:val="28"/>
        </w:rPr>
        <w:t>“苗绣竹韵家居”是一项省级大学生创新训练项目，旨在将苗绣传统纹样与现代家居产品相融合，开发兼具文化价值与实用功能的家居用品。项目团队由法学专业学生组成，已完成以下前期工作：全套产品设计图纸（涵盖床品、窗帘、壁饰、柜体四个品类）、外观设计专利申请（已受理）、消费者问卷调查（有效样本覆盖目标客群）。</w:t>
      </w:r>
    </w:p>
    <w:p>
      <w:pPr>
        <w:spacing w:after="160" w:line="400" w:lineRule="exact"/>
        <w:ind w:firstLine="560"/>
        <w:rPr>
          <w:rFonts w:hint="eastAsia" w:ascii="楷体" w:hAnsi="楷体" w:eastAsia="楷体"/>
          <w:sz w:val="28"/>
        </w:rPr>
      </w:pPr>
      <w:r>
        <w:rPr>
          <w:rFonts w:ascii="楷体" w:hAnsi="楷体" w:eastAsia="楷体"/>
          <w:sz w:val="28"/>
        </w:rPr>
        <w:t>然而，项目面临大学生非遗创业的典型困境：缺乏实物落地所需的启动资金，无法将设计转化为打样产品；难以对接稳定的绣娘团队与生产供应链；线下销售渠道缺失，线上运营经验不足。这些困境并非该项目独有，而是反映了大学生非遗创业项目的普遍现状。</w:t>
      </w:r>
    </w:p>
    <w:p>
      <w:pPr>
        <w:spacing w:after="160" w:line="400" w:lineRule="exact"/>
        <w:ind w:firstLine="560"/>
        <w:rPr>
          <w:rFonts w:hint="eastAsia" w:ascii="楷体" w:hAnsi="楷体" w:eastAsia="楷体"/>
          <w:sz w:val="28"/>
        </w:rPr>
      </w:pPr>
      <w:r>
        <w:rPr>
          <w:rFonts w:ascii="楷体" w:hAnsi="楷体" w:eastAsia="楷体"/>
          <w:sz w:val="28"/>
        </w:rPr>
        <w:t>项目团队的基本判断是：与其在资源不具备的条件下强行推进实物落地，不如充分利用已有成果完成模式设计与可行性验证，为后续引入外部资源创造条件。这一判断与第三章提炼的“轻资产起步、分阶段投入”规律高度契合。</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ascii="楷体" w:hAnsi="楷体" w:eastAsia="楷体" w:cstheme="minorBidi"/>
          <w:b/>
          <w:kern w:val="2"/>
          <w:sz w:val="28"/>
          <w:szCs w:val="24"/>
          <w:lang w:val="en-US" w:eastAsia="zh-CN" w:bidi="ar-SA"/>
        </w:rPr>
        <w:t>借鉴“设计转化”规律需聚焦垂直场景并做深做透</w:t>
      </w:r>
    </w:p>
    <w:p>
      <w:pPr>
        <w:spacing w:after="160" w:line="400" w:lineRule="exact"/>
        <w:ind w:firstLine="560"/>
        <w:rPr>
          <w:rFonts w:hint="eastAsia" w:ascii="楷体" w:hAnsi="楷体" w:eastAsia="楷体"/>
          <w:sz w:val="28"/>
        </w:rPr>
      </w:pPr>
      <w:r>
        <w:rPr>
          <w:rFonts w:ascii="楷体" w:hAnsi="楷体" w:eastAsia="楷体"/>
          <w:sz w:val="28"/>
        </w:rPr>
        <w:t>故宫文创的核心能力在于将传统文化符号转化为符合当代审美的产品语言</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_Ref14285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[9]</w:t>
      </w:r>
      <w:r>
        <w:rPr>
          <w:rFonts w:hint="eastAsia" w:ascii="楷体" w:hAnsi="楷体" w:eastAsia="楷体"/>
          <w:sz w:val="28"/>
          <w:vertAlign w:val="superscript"/>
        </w:rPr>
        <w:fldChar w:fldCharType="end"/>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_Ref14341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[11]</w:t>
      </w:r>
      <w:r>
        <w:rPr>
          <w:rFonts w:hint="eastAsia" w:ascii="楷体" w:hAnsi="楷体" w:eastAsia="楷体"/>
          <w:sz w:val="28"/>
          <w:vertAlign w:val="superscript"/>
        </w:rPr>
        <w:fldChar w:fldCharType="end"/>
      </w:r>
      <w:r>
        <w:rPr>
          <w:rFonts w:ascii="楷体" w:hAnsi="楷体" w:eastAsia="楷体"/>
          <w:sz w:val="28"/>
        </w:rPr>
        <w:t>。“苗绣竹韵家居”项目借鉴了这一思路，但根据自身资源条件进行了差异化调整。</w:t>
      </w:r>
    </w:p>
    <w:p>
      <w:pPr>
        <w:spacing w:after="160" w:line="400" w:lineRule="exact"/>
        <w:ind w:firstLine="560"/>
        <w:rPr>
          <w:rFonts w:hint="eastAsia" w:ascii="楷体" w:hAnsi="楷体" w:eastAsia="楷体"/>
          <w:sz w:val="28"/>
        </w:rPr>
      </w:pPr>
      <w:r>
        <w:rPr>
          <w:rFonts w:ascii="楷体" w:hAnsi="楷体" w:eastAsia="楷体"/>
          <w:sz w:val="28"/>
        </w:rPr>
        <w:t>在品类策略上，故宫拥有海量馆藏资源，可以支撑全品类开发；而大学生团队资源有限，因此选择聚焦家居场景，围绕床品、窗帘、壁饰、柜体四个品类做深做透。这一选择体现了从“广覆盖”到“深聚焦”的策略调整——与其模仿大机构的多品类布局，不如在单一场景中建立完整的产品矩阵，形成场景化的品牌认知。</w:t>
      </w:r>
    </w:p>
    <w:p>
      <w:pPr>
        <w:spacing w:after="160" w:line="400" w:lineRule="exact"/>
        <w:ind w:firstLine="560"/>
        <w:rPr>
          <w:rFonts w:hint="eastAsia" w:ascii="楷体" w:hAnsi="楷体" w:eastAsia="楷体"/>
          <w:sz w:val="28"/>
        </w:rPr>
      </w:pPr>
      <w:r>
        <w:rPr>
          <w:rFonts w:ascii="楷体" w:hAnsi="楷体" w:eastAsia="楷体"/>
          <w:sz w:val="28"/>
        </w:rPr>
        <w:t>在设计转化方法上，项目团队对蝴蝶妈妈、龙纹、云纹等传统苗绣纹样进行了抽象化和模块化处理，使其适配现代家居的简约审美。这一方法直接回应了故宫文创“将传统纹样转化为当代设计语言”的核心经验，同时结合了苗绣色彩浓烈、构图饱满的视觉特征，形成了不同于故宫“雅致内敛”风格的差异化表达——苗绣竹韵追求的是“具有民族温度与现代气息”的家居美学。</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ascii="楷体" w:hAnsi="楷体" w:eastAsia="楷体" w:cstheme="minorBidi"/>
          <w:b/>
          <w:kern w:val="2"/>
          <w:sz w:val="28"/>
          <w:szCs w:val="24"/>
          <w:lang w:val="en-US" w:eastAsia="zh-CN" w:bidi="ar-SA"/>
        </w:rPr>
        <w:t>从多方协作规律中借鉴轻量级工坊合作方案设计</w:t>
      </w:r>
    </w:p>
    <w:p>
      <w:pPr>
        <w:spacing w:after="160" w:line="400" w:lineRule="exact"/>
        <w:ind w:firstLine="560"/>
        <w:rPr>
          <w:rFonts w:hint="eastAsia" w:ascii="楷体" w:hAnsi="楷体" w:eastAsia="楷体"/>
          <w:sz w:val="28"/>
        </w:rPr>
      </w:pPr>
      <w:r>
        <w:rPr>
          <w:rFonts w:ascii="楷体" w:hAnsi="楷体" w:eastAsia="楷体"/>
          <w:sz w:val="28"/>
        </w:rPr>
        <w:t>贵州“锦绣计划”的成功依赖于政府主导的规模化组织网络</w:t>
      </w:r>
      <w:r>
        <w:rPr>
          <w:rFonts w:ascii="楷体" w:hAnsi="楷体" w:eastAsia="楷体"/>
          <w:sz w:val="28"/>
          <w:vertAlign w:val="superscript"/>
        </w:rPr>
        <w:fldChar w:fldCharType="begin"/>
      </w:r>
      <w:r>
        <w:rPr>
          <w:rFonts w:ascii="楷体" w:hAnsi="楷体" w:eastAsia="楷体"/>
          <w:sz w:val="28"/>
          <w:vertAlign w:val="superscript"/>
        </w:rPr>
        <w:instrText xml:space="preserve"> REF _Ref11026 \r \h </w:instrText>
      </w:r>
      <w:r>
        <w:rPr>
          <w:rFonts w:hint="eastAsia" w:ascii="楷体" w:hAnsi="楷体" w:eastAsia="楷体"/>
          <w:sz w:val="28"/>
          <w:vertAlign w:val="superscript"/>
        </w:rPr>
        <w:instrText xml:space="preserve"> \* MERGEFORMAT </w:instrText>
      </w:r>
      <w:r>
        <w:rPr>
          <w:rFonts w:ascii="楷体" w:hAnsi="楷体" w:eastAsia="楷体"/>
          <w:sz w:val="28"/>
          <w:vertAlign w:val="superscript"/>
        </w:rPr>
        <w:fldChar w:fldCharType="separate"/>
      </w:r>
      <w:r>
        <w:rPr>
          <w:rFonts w:ascii="楷体" w:hAnsi="楷体" w:eastAsia="楷体"/>
          <w:sz w:val="28"/>
          <w:vertAlign w:val="superscript"/>
        </w:rPr>
        <w:t>[4]</w:t>
      </w:r>
      <w:r>
        <w:rPr>
          <w:rFonts w:ascii="楷体" w:hAnsi="楷体" w:eastAsia="楷体"/>
          <w:sz w:val="28"/>
          <w:vertAlign w:val="superscript"/>
        </w:rPr>
        <w:fldChar w:fldCharType="end"/>
      </w:r>
      <w:r>
        <w:rPr>
          <w:rFonts w:ascii="楷体" w:hAnsi="楷体" w:eastAsia="楷体"/>
          <w:sz w:val="28"/>
        </w:rPr>
        <w:t>。大学生团队无法复制这一组织能力，但借鉴了其“多方协作”的核心理念，设计了一套适合自身资源的“轻量级”合作方案。</w:t>
      </w:r>
    </w:p>
    <w:p>
      <w:pPr>
        <w:spacing w:after="160" w:line="400" w:lineRule="exact"/>
        <w:ind w:firstLine="560"/>
        <w:rPr>
          <w:rFonts w:hint="eastAsia" w:ascii="楷体" w:hAnsi="楷体" w:eastAsia="楷体"/>
          <w:sz w:val="28"/>
        </w:rPr>
      </w:pPr>
      <w:r>
        <w:rPr>
          <w:rFonts w:ascii="楷体" w:hAnsi="楷体" w:eastAsia="楷体"/>
          <w:sz w:val="28"/>
        </w:rPr>
        <w:t>在生产端，项目提出“半手工半机械”的加工模式：关键纹样由绣娘手工完成以保证手工艺价值，基础部件采用机绣以提高效率、控制成本。这一设计是对“锦绣计划”中标准化培训与规模化生产经验的灵活转化——既保留了非遗的核心工艺要素，又降低了对稀缺手工产能的依赖，使小批量生产成为可能。</w:t>
      </w:r>
    </w:p>
    <w:p>
      <w:pPr>
        <w:spacing w:after="160" w:line="400" w:lineRule="exact"/>
        <w:ind w:firstLine="560"/>
        <w:rPr>
          <w:rFonts w:hint="eastAsia" w:ascii="楷体" w:hAnsi="楷体" w:eastAsia="楷体"/>
          <w:sz w:val="28"/>
        </w:rPr>
      </w:pPr>
      <w:r>
        <w:rPr>
          <w:rFonts w:ascii="楷体" w:hAnsi="楷体" w:eastAsia="楷体"/>
          <w:sz w:val="28"/>
        </w:rPr>
        <w:t>在合作机制上，项目设计了与乡村工坊的“直采+分成”模式，即由工坊按设计图纸进行生产，产品交付后按固定单价结算加工费，同时给予工坊一定比例的销售额分成。这一扁平化的二元合作架构，较之“锦绣计划”中“公司+协会+绣娘”的三层架构，大幅降低了组织协调成本，更适配大学生团队的管理能力。</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ascii="楷体" w:hAnsi="楷体" w:eastAsia="楷体" w:cstheme="minorBidi"/>
          <w:b/>
          <w:kern w:val="2"/>
          <w:sz w:val="28"/>
          <w:szCs w:val="24"/>
          <w:lang w:val="en-US" w:eastAsia="zh-CN" w:bidi="ar-SA"/>
        </w:rPr>
        <w:t>受轻资产规律启发渠道策略采用轻联名模式</w:t>
      </w:r>
    </w:p>
    <w:p>
      <w:pPr>
        <w:spacing w:after="160" w:line="400" w:lineRule="exact"/>
        <w:ind w:firstLine="560"/>
        <w:rPr>
          <w:rFonts w:hint="eastAsia" w:ascii="楷体" w:hAnsi="楷体" w:eastAsia="楷体"/>
          <w:sz w:val="28"/>
        </w:rPr>
      </w:pPr>
      <w:r>
        <w:rPr>
          <w:rFonts w:ascii="楷体" w:hAnsi="楷体" w:eastAsia="楷体"/>
          <w:sz w:val="28"/>
        </w:rPr>
        <w:t>花西子×苗族印象的成功依赖于品牌势能与大规模营销投入</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_Ref14491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[13]</w:t>
      </w:r>
      <w:r>
        <w:rPr>
          <w:rFonts w:hint="eastAsia" w:ascii="楷体" w:hAnsi="楷体" w:eastAsia="楷体"/>
          <w:sz w:val="28"/>
          <w:vertAlign w:val="superscript"/>
        </w:rPr>
        <w:fldChar w:fldCharType="end"/>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_Ref14517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[14]</w:t>
      </w:r>
      <w:r>
        <w:rPr>
          <w:rFonts w:hint="eastAsia" w:ascii="楷体" w:hAnsi="楷体" w:eastAsia="楷体"/>
          <w:sz w:val="28"/>
          <w:vertAlign w:val="superscript"/>
        </w:rPr>
        <w:fldChar w:fldCharType="end"/>
      </w:r>
      <w:r>
        <w:rPr>
          <w:rFonts w:ascii="楷体" w:hAnsi="楷体" w:eastAsia="楷体"/>
          <w:sz w:val="28"/>
        </w:rPr>
        <w:t>。大学生团队不具备这些条件，但借鉴了其“场景化传播”的思路，设计了适合零预算启动的“轻联名”渠道方案。</w:t>
      </w:r>
    </w:p>
    <w:p>
      <w:pPr>
        <w:spacing w:after="160" w:line="400" w:lineRule="exact"/>
        <w:ind w:firstLine="560"/>
        <w:rPr>
          <w:rFonts w:hint="eastAsia" w:ascii="楷体" w:hAnsi="楷体" w:eastAsia="楷体"/>
          <w:sz w:val="28"/>
        </w:rPr>
      </w:pPr>
      <w:r>
        <w:rPr>
          <w:rFonts w:ascii="楷体" w:hAnsi="楷体" w:eastAsia="楷体"/>
          <w:sz w:val="28"/>
        </w:rPr>
        <w:t>具体而言，项目设计了三类零租金渠道合作模式：其一，酒店主题房分成——项目提供设计样品，酒店提供客房进行苗绣主题改造，按房费溢价部分进行分成；其二，民宿场景植入——在民宿公共区域设置苗绣文化角，展示并销售产品，民宿方按销售额获取佣金；其三，文旅快闪店——短期租赁景区场地，通过DIY手作体验吸引客流，带动衍生品销售。</w:t>
      </w:r>
    </w:p>
    <w:p>
      <w:pPr>
        <w:spacing w:after="160" w:line="400" w:lineRule="exact"/>
        <w:ind w:firstLine="560"/>
        <w:rPr>
          <w:rFonts w:hint="eastAsia" w:ascii="楷体" w:hAnsi="楷体" w:eastAsia="楷体"/>
          <w:sz w:val="28"/>
        </w:rPr>
      </w:pPr>
      <w:r>
        <w:rPr>
          <w:rFonts w:ascii="楷体" w:hAnsi="楷体" w:eastAsia="楷体"/>
          <w:sz w:val="28"/>
        </w:rPr>
        <w:t>这些设计借鉴了花西子“将非遗嵌入消费场景”的核心理念，但在执行层面做了显著的轻量化处理：不依赖大规模广告投放，而是通过与现有商业场所的合作实现低成本曝光；不追求亿级流量，而是通过场景化的沉浸体验实现精准转化。对于市场预算有限的大学生团队而言，这种“以场景置换流量”的策略具有现实可行性。</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ascii="楷体" w:hAnsi="楷体" w:eastAsia="楷体" w:cstheme="minorBidi"/>
          <w:b/>
          <w:kern w:val="2"/>
          <w:sz w:val="28"/>
          <w:szCs w:val="24"/>
          <w:lang w:val="en-US" w:eastAsia="zh-CN" w:bidi="ar-SA"/>
        </w:rPr>
        <w:t>从法学视角推动差异化创新</w:t>
      </w:r>
      <w:r>
        <w:rPr>
          <w:rFonts w:hint="eastAsia" w:ascii="楷体" w:hAnsi="楷体" w:eastAsia="楷体" w:cstheme="minorBidi"/>
          <w:b/>
          <w:kern w:val="2"/>
          <w:sz w:val="28"/>
          <w:szCs w:val="24"/>
          <w:lang w:val="en-US" w:eastAsia="zh-CN" w:bidi="ar-SA"/>
        </w:rPr>
        <w:t>，</w:t>
      </w:r>
      <w:r>
        <w:rPr>
          <w:rFonts w:ascii="楷体" w:hAnsi="楷体" w:eastAsia="楷体" w:cstheme="minorBidi"/>
          <w:b/>
          <w:kern w:val="2"/>
          <w:sz w:val="28"/>
          <w:szCs w:val="24"/>
          <w:lang w:val="en-US" w:eastAsia="zh-CN" w:bidi="ar-SA"/>
        </w:rPr>
        <w:t>制度设计转化为项目资产</w:t>
      </w:r>
    </w:p>
    <w:p>
      <w:pPr>
        <w:spacing w:after="160" w:line="400" w:lineRule="exact"/>
        <w:ind w:firstLine="560"/>
        <w:rPr>
          <w:rFonts w:hint="eastAsia" w:ascii="楷体" w:hAnsi="楷体" w:eastAsia="楷体"/>
          <w:sz w:val="28"/>
        </w:rPr>
      </w:pPr>
      <w:r>
        <w:rPr>
          <w:rFonts w:ascii="楷体" w:hAnsi="楷体" w:eastAsia="楷体"/>
          <w:sz w:val="28"/>
        </w:rPr>
        <w:t>作为法学生团队，“苗绣竹韵家居”在借鉴上述商业规律的基础上，融入了法学专业的独特优势，形成了区别于一般文创项目的差异化特征。这一特征体现在三个层面。</w:t>
      </w:r>
    </w:p>
    <w:p>
      <w:pPr>
        <w:pStyle w:val="21"/>
        <w:numPr>
          <w:ilvl w:val="0"/>
          <w:numId w:val="3"/>
        </w:numPr>
        <w:ind w:left="1003" w:hanging="442" w:firstLineChars="0"/>
        <w:outlineLvl w:val="2"/>
        <w:rPr>
          <w:rFonts w:hint="eastAsia" w:ascii="楷体" w:hAnsi="楷体"/>
          <w:b/>
          <w:bCs/>
        </w:rPr>
      </w:pPr>
      <w:r>
        <w:rPr>
          <w:rFonts w:ascii="楷体" w:hAnsi="楷体"/>
          <w:b/>
          <w:bCs/>
        </w:rPr>
        <w:t>知识产权保护全流程前置</w:t>
      </w:r>
    </w:p>
    <w:p>
      <w:pPr>
        <w:spacing w:after="160" w:line="400" w:lineRule="exact"/>
        <w:ind w:firstLine="560"/>
        <w:rPr>
          <w:rFonts w:hint="eastAsia" w:ascii="楷体" w:hAnsi="楷体" w:eastAsia="楷体"/>
          <w:sz w:val="28"/>
        </w:rPr>
      </w:pPr>
      <w:r>
        <w:rPr>
          <w:rFonts w:ascii="楷体" w:hAnsi="楷体" w:eastAsia="楷体"/>
          <w:sz w:val="28"/>
        </w:rPr>
        <w:t>故宫文创和花西子均重视知识产权保护，但其保护措施多在产品开发中后期启动</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_Ref14285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[9]</w:t>
      </w:r>
      <w:r>
        <w:rPr>
          <w:rFonts w:hint="eastAsia" w:ascii="楷体" w:hAnsi="楷体" w:eastAsia="楷体"/>
          <w:sz w:val="28"/>
          <w:vertAlign w:val="superscript"/>
        </w:rPr>
        <w:fldChar w:fldCharType="end"/>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_Ref14517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[14]</w:t>
      </w:r>
      <w:r>
        <w:rPr>
          <w:rFonts w:hint="eastAsia" w:ascii="楷体" w:hAnsi="楷体" w:eastAsia="楷体"/>
          <w:sz w:val="28"/>
          <w:vertAlign w:val="superscript"/>
        </w:rPr>
        <w:fldChar w:fldCharType="end"/>
      </w:r>
      <w:r>
        <w:rPr>
          <w:rFonts w:ascii="楷体" w:hAnsi="楷体" w:eastAsia="楷体"/>
          <w:sz w:val="28"/>
        </w:rPr>
        <w:t>。“苗绣竹韵家居”则在产品设计图纸完成后、实物打样之前即提交了外观设计专利申请，实现了“设计完成即申请”的前置保护策略。在零资金条件下，这一策略优先保障了法律资产的形成——即便项目暂时无法落地，已经形成的知识产权仍然是可估值、可授权的核心资产。</w:t>
      </w:r>
    </w:p>
    <w:p>
      <w:pPr>
        <w:pStyle w:val="21"/>
        <w:numPr>
          <w:ilvl w:val="0"/>
          <w:numId w:val="3"/>
        </w:numPr>
        <w:ind w:left="1003" w:hanging="442" w:firstLineChars="0"/>
        <w:outlineLvl w:val="2"/>
        <w:rPr>
          <w:rFonts w:hint="eastAsia" w:ascii="楷体" w:hAnsi="楷体"/>
          <w:b/>
          <w:bCs/>
        </w:rPr>
      </w:pPr>
      <w:r>
        <w:rPr>
          <w:rFonts w:ascii="楷体" w:hAnsi="楷体"/>
          <w:b/>
          <w:bCs/>
        </w:rPr>
        <w:t>协议化设计合作机制</w:t>
      </w:r>
    </w:p>
    <w:p>
      <w:pPr>
        <w:spacing w:after="160" w:line="400" w:lineRule="exact"/>
        <w:ind w:firstLine="560"/>
        <w:rPr>
          <w:rFonts w:hint="eastAsia" w:ascii="楷体" w:hAnsi="楷体" w:eastAsia="楷体"/>
          <w:sz w:val="28"/>
        </w:rPr>
      </w:pPr>
      <w:r>
        <w:rPr>
          <w:rFonts w:ascii="楷体" w:hAnsi="楷体" w:eastAsia="楷体"/>
          <w:sz w:val="28"/>
        </w:rPr>
        <w:t>项目团队同步起草了配套的法律文本框架，包括与绣娘的纹样授权协议、与乡村工坊的委托加工合同、与酒店民宿的利润分成协议等</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_Ref25515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[16]</w:t>
      </w:r>
      <w:r>
        <w:rPr>
          <w:rFonts w:hint="eastAsia" w:ascii="楷体" w:hAnsi="楷体" w:eastAsia="楷体"/>
          <w:sz w:val="28"/>
          <w:vertAlign w:val="superscript"/>
        </w:rPr>
        <w:fldChar w:fldCharType="end"/>
      </w:r>
      <w:r>
        <w:rPr>
          <w:rFonts w:ascii="楷体" w:hAnsi="楷体" w:eastAsia="楷体"/>
          <w:sz w:val="28"/>
        </w:rPr>
        <w:t>。这些协议明确了各方的权利义务、收益分配和争议解决方式。这一做法是对“锦绣计划”中组织化经验的法学化转化——用合同关系替代行政管理关系，更适配大学生团队的扁平化运作模式，也为后续引入投资方或合作方提供了规范化的制度基础。</w:t>
      </w:r>
    </w:p>
    <w:p>
      <w:pPr>
        <w:pStyle w:val="21"/>
        <w:numPr>
          <w:ilvl w:val="0"/>
          <w:numId w:val="3"/>
        </w:numPr>
        <w:ind w:left="1003" w:hanging="442" w:firstLineChars="0"/>
        <w:outlineLvl w:val="2"/>
        <w:rPr>
          <w:rFonts w:hint="eastAsia" w:ascii="楷体" w:hAnsi="楷体"/>
          <w:b/>
          <w:bCs/>
        </w:rPr>
      </w:pPr>
      <w:r>
        <w:rPr>
          <w:rFonts w:ascii="楷体" w:hAnsi="楷体"/>
          <w:b/>
          <w:bCs/>
        </w:rPr>
        <w:t>主动规避纹样使用风险</w:t>
      </w:r>
    </w:p>
    <w:p>
      <w:pPr>
        <w:spacing w:after="160" w:line="400" w:lineRule="exact"/>
        <w:ind w:firstLine="560"/>
        <w:rPr>
          <w:rFonts w:hint="eastAsia" w:ascii="楷体" w:hAnsi="楷体" w:eastAsia="楷体"/>
          <w:sz w:val="28"/>
        </w:rPr>
      </w:pPr>
      <w:r>
        <w:rPr>
          <w:rFonts w:ascii="Calibri" w:hAnsi="Calibri" w:eastAsia="楷体" w:cs="Calibri"/>
          <w:sz w:val="28"/>
        </w:rPr>
        <w:t> </w:t>
      </w:r>
      <w:r>
        <w:rPr>
          <w:rFonts w:ascii="楷体" w:hAnsi="楷体" w:eastAsia="楷体"/>
          <w:sz w:val="28"/>
        </w:rPr>
        <w:t>苗绣传统纹样作为民间文学艺术作品，其版权归属存在法律模糊地带——传统纹样属于民族集体创作，通常不受个体著作权保护；但基于传统纹样的二次创作可构成新的美术作品，享有著作权</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w:instrText>
      </w:r>
      <w:r>
        <w:rPr>
          <w:rFonts w:ascii="楷体" w:hAnsi="楷体" w:eastAsia="楷体"/>
          <w:sz w:val="28"/>
          <w:vertAlign w:val="superscript"/>
        </w:rPr>
        <w:instrText xml:space="preserve">REF _Ref26843 \r \h</w:instrText>
      </w:r>
      <w:r>
        <w:rPr>
          <w:rFonts w:hint="eastAsia" w:ascii="楷体" w:hAnsi="楷体" w:eastAsia="楷体"/>
          <w:sz w:val="28"/>
          <w:vertAlign w:val="superscript"/>
        </w:rPr>
        <w:instrText xml:space="preserve">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[15]</w:t>
      </w:r>
      <w:r>
        <w:rPr>
          <w:rFonts w:hint="eastAsia" w:ascii="楷体" w:hAnsi="楷体" w:eastAsia="楷体"/>
          <w:sz w:val="28"/>
          <w:vertAlign w:val="superscript"/>
        </w:rPr>
        <w:fldChar w:fldCharType="end"/>
      </w:r>
      <w:r>
        <w:rPr>
          <w:rFonts w:ascii="楷体" w:hAnsi="楷体" w:eastAsia="楷体"/>
          <w:sz w:val="28"/>
        </w:rPr>
        <w:t>。项目团队在调研阶段即识别出这一风险，并设计了“二次创作+著作权登记”的应对方案：所有用于产品的纹样均在传统基础上进行了实质性的抽象化、模块化再创作，并计划进行著作权登记。这一做法将合规审查前置到设计阶段，是对故宫文创、花西子等案例中普遍采用的事后维权模式的优化。</w:t>
      </w:r>
    </w:p>
    <w:p>
      <w:pPr>
        <w:spacing w:after="160" w:line="400" w:lineRule="exact"/>
        <w:ind w:firstLine="560"/>
        <w:rPr>
          <w:rFonts w:hint="eastAsia" w:ascii="楷体" w:hAnsi="楷体" w:eastAsia="楷体"/>
          <w:sz w:val="28"/>
        </w:rPr>
      </w:pPr>
      <w:r>
        <w:rPr>
          <w:rFonts w:ascii="楷体" w:hAnsi="楷体" w:eastAsia="楷体"/>
          <w:sz w:val="28"/>
        </w:rPr>
        <w:t>综上，“苗绣竹韵家居”项目的实践表明，大学生非遗创业可以将“完成一套可被外部资源方直接使用的设计方案与合作机制”作为核心交付物。项目虽未实现实物落地，但其设计图纸、专利申请、消费者验证数据和配套协议文本，共同构成了一套完整、可复用的“非遗活化工具包”。这一模式降低了大学生团队的启动门槛，也为外部资源方提供了清晰的合作界面，体现了从“做产品”到“做设计+做合作”的创业思路转变。</w:t>
      </w:r>
    </w:p>
    <w:p>
      <w:pPr>
        <w:widowControl w:val="0"/>
        <w:numPr>
          <w:ilvl w:val="0"/>
          <w:numId w:val="2"/>
        </w:numPr>
        <w:spacing w:before="312" w:beforeLines="100" w:after="312" w:afterLines="100" w:line="240" w:lineRule="auto"/>
        <w:ind w:firstLine="560" w:firstLineChars="0"/>
        <w:jc w:val="center"/>
        <w:outlineLvl w:val="0"/>
        <w:rPr>
          <w:rFonts w:hint="eastAsia" w:ascii="楷体" w:hAnsi="楷体" w:eastAsia="楷体" w:cstheme="minorBidi"/>
          <w:b/>
          <w:kern w:val="44"/>
          <w:sz w:val="32"/>
          <w:szCs w:val="24"/>
          <w:lang w:val="en-US" w:eastAsia="zh-CN" w:bidi="ar-SA"/>
        </w:rPr>
      </w:pPr>
      <w:bookmarkStart w:id="17" w:name="_Toc26377"/>
      <w:bookmarkStart w:id="18" w:name="_Toc1518"/>
      <w:bookmarkStart w:id="19" w:name="_Toc23310"/>
      <w:r>
        <w:rPr>
          <w:rFonts w:hint="eastAsia" w:ascii="楷体" w:hAnsi="楷体" w:eastAsia="楷体" w:cstheme="minorBidi"/>
          <w:b/>
          <w:kern w:val="44"/>
          <w:sz w:val="32"/>
          <w:szCs w:val="24"/>
          <w:lang w:val="en-US" w:eastAsia="zh-CN" w:bidi="ar-SA"/>
        </w:rPr>
        <w:t>政策建议</w:t>
      </w:r>
      <w:bookmarkEnd w:id="17"/>
      <w:bookmarkEnd w:id="18"/>
      <w:bookmarkEnd w:id="19"/>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建立“非遗+大学生创业”专项支持基金</w:t>
      </w:r>
    </w:p>
    <w:p>
      <w:pPr>
        <w:spacing w:after="160" w:line="400" w:lineRule="exact"/>
        <w:ind w:firstLine="560"/>
        <w:rPr>
          <w:rFonts w:hint="eastAsia" w:ascii="楷体" w:hAnsi="楷体" w:eastAsia="楷体"/>
          <w:sz w:val="28"/>
        </w:rPr>
      </w:pPr>
      <w:r>
        <w:rPr>
          <w:rFonts w:hint="eastAsia" w:ascii="楷体" w:hAnsi="楷体" w:eastAsia="楷体"/>
          <w:sz w:val="28"/>
        </w:rPr>
        <w:t>当前，大学生创新创业训练计划对非遗类项目的资助额度有限，且资金拨付周期较长，难以满足产品打样、专利申请、样品制作等前期刚需。与此同时，文旅系统的“非遗工坊”补贴主要面向成熟工坊，对大学生初创项目覆盖不足</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_Ref11026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[4]</w:t>
      </w:r>
      <w:r>
        <w:rPr>
          <w:rFonts w:hint="eastAsia" w:ascii="楷体" w:hAnsi="楷体" w:eastAsia="楷体"/>
          <w:sz w:val="28"/>
          <w:vertAlign w:val="superscript"/>
        </w:rPr>
        <w:fldChar w:fldCharType="end"/>
      </w:r>
      <w:r>
        <w:rPr>
          <w:rFonts w:hint="eastAsia" w:ascii="楷体" w:hAnsi="楷体" w:eastAsia="楷体"/>
          <w:sz w:val="28"/>
        </w:rPr>
        <w:t>。</w:t>
      </w:r>
    </w:p>
    <w:p>
      <w:pPr>
        <w:spacing w:after="160" w:line="400" w:lineRule="exact"/>
        <w:ind w:firstLine="560"/>
        <w:rPr>
          <w:rFonts w:hint="eastAsia" w:ascii="楷体" w:hAnsi="楷体" w:eastAsia="楷体"/>
          <w:sz w:val="28"/>
        </w:rPr>
      </w:pPr>
      <w:r>
        <w:rPr>
          <w:rFonts w:hint="eastAsia" w:ascii="楷体" w:hAnsi="楷体" w:eastAsia="楷体"/>
          <w:sz w:val="28"/>
        </w:rPr>
        <w:t>通过省级教育部门联合文旅部门支持，设立“非遗+大学生创业”专项支持基金。该基金可采取“小额资助+以奖代补”的方式运作：立项阶段给予5000-10000元的设计与知识产权申请补贴；中期通过成果评审（如完成设计图纸、专利申请、问卷验证）给予5000-10000元奖励；后期对成功落地或达成合作的项目给予最高5万元的落地转化支持。这一分段资助模式与第三章提炼的“轻资产起步、分阶段投入”规律相契合</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_Ref11026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[4]</w:t>
      </w:r>
      <w:r>
        <w:rPr>
          <w:rFonts w:hint="eastAsia" w:ascii="楷体" w:hAnsi="楷体" w:eastAsia="楷体"/>
          <w:sz w:val="28"/>
          <w:vertAlign w:val="superscript"/>
        </w:rPr>
        <w:fldChar w:fldCharType="end"/>
      </w:r>
      <w:r>
        <w:rPr>
          <w:rFonts w:hint="eastAsia" w:ascii="楷体" w:hAnsi="楷体" w:eastAsia="楷体"/>
          <w:sz w:val="28"/>
        </w:rPr>
        <w:t>，能够有效降低大学生团队的早期资金压力。</w:t>
      </w:r>
    </w:p>
    <w:p>
      <w:pPr>
        <w:spacing w:after="160" w:line="400" w:lineRule="exact"/>
        <w:ind w:firstLine="560"/>
        <w:rPr>
          <w:rFonts w:hint="eastAsia" w:ascii="楷体" w:hAnsi="楷体" w:eastAsia="楷体"/>
          <w:sz w:val="28"/>
        </w:rPr>
      </w:pPr>
      <w:r>
        <w:rPr>
          <w:rFonts w:hint="eastAsia" w:ascii="楷体" w:hAnsi="楷体" w:eastAsia="楷体"/>
          <w:sz w:val="28"/>
        </w:rPr>
        <w:t>此外，基金可联动“青年红色筑梦之旅”等赛事平台，对获奖非遗项目给予额外资金与资源对接，形成“以赛促创、以创带保”的良性循环。</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搭建全国性非遗纹样数字化授权平台</w:t>
      </w:r>
    </w:p>
    <w:p>
      <w:pPr>
        <w:spacing w:after="160" w:line="400" w:lineRule="exact"/>
        <w:ind w:firstLine="560"/>
        <w:rPr>
          <w:rFonts w:hint="eastAsia" w:ascii="楷体" w:hAnsi="楷体" w:eastAsia="楷体"/>
          <w:sz w:val="28"/>
        </w:rPr>
      </w:pPr>
      <w:r>
        <w:rPr>
          <w:rFonts w:hint="eastAsia" w:ascii="楷体" w:hAnsi="楷体" w:eastAsia="楷体"/>
          <w:sz w:val="28"/>
        </w:rPr>
        <w:t>前文中已经明确指出，非遗纹样的知识产权保护与授权链路完整性是大学生创业项目面临的主要法律风险之一</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_Ref26843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[15]</w:t>
      </w:r>
      <w:r>
        <w:rPr>
          <w:rFonts w:hint="eastAsia" w:ascii="楷体" w:hAnsi="楷体" w:eastAsia="楷体"/>
          <w:sz w:val="28"/>
          <w:vertAlign w:val="superscript"/>
        </w:rPr>
        <w:fldChar w:fldCharType="end"/>
      </w:r>
      <w:r>
        <w:rPr>
          <w:rFonts w:hint="eastAsia" w:ascii="楷体" w:hAnsi="楷体" w:eastAsia="楷体"/>
          <w:sz w:val="28"/>
        </w:rPr>
        <w:t>。传统纹样属于民间文学艺术作品，其权利归属模糊，个体创业者难以获得清晰、可追溯的授权。这导致许多大学生项目要么因担心侵权而放弃使用传统纹样，要么在使用后面临被诉风险。</w:t>
      </w:r>
    </w:p>
    <w:p>
      <w:pPr>
        <w:spacing w:after="160" w:line="400" w:lineRule="exact"/>
        <w:ind w:firstLine="560"/>
        <w:rPr>
          <w:rFonts w:hint="eastAsia" w:ascii="楷体" w:hAnsi="楷体" w:eastAsia="楷体"/>
          <w:sz w:val="28"/>
        </w:rPr>
      </w:pPr>
      <w:r>
        <w:rPr>
          <w:rFonts w:hint="eastAsia" w:ascii="楷体" w:hAnsi="楷体" w:eastAsia="楷体"/>
          <w:sz w:val="28"/>
        </w:rPr>
        <w:t>应当由文化和旅游部牵头，依托非遗保护中心或行业协会，搭建全国性非遗纹样数字化授权平台。该平台应实现以下功能：一是纹样数字化建档与分类，对各地非遗纹样进行高清数字化采集、矢量化处理与元数据标注；二是权利信息公示，明确每一类纹样的权利归属（如属于特定传承人、村集体或公共领域）及授权条件；三是标准化授权协议模板，提供非独家商业使用授权、独家授权、公益使用等不同场景的协议文本，降低大学生团队的谈判与合规成本；四是线上授权交易功能，支持纹样使用费的在线支付与分账，收益自动分配给传承人或村集体</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_Ref11232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[5]</w:t>
      </w:r>
      <w:r>
        <w:rPr>
          <w:rFonts w:hint="eastAsia" w:ascii="楷体" w:hAnsi="楷体" w:eastAsia="楷体"/>
          <w:sz w:val="28"/>
          <w:vertAlign w:val="superscript"/>
        </w:rPr>
        <w:fldChar w:fldCharType="end"/>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_Ref25515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[16]</w:t>
      </w:r>
      <w:r>
        <w:rPr>
          <w:rFonts w:hint="eastAsia" w:ascii="楷体" w:hAnsi="楷体" w:eastAsia="楷体"/>
          <w:sz w:val="28"/>
          <w:vertAlign w:val="superscript"/>
        </w:rPr>
        <w:fldChar w:fldCharType="end"/>
      </w:r>
      <w:r>
        <w:rPr>
          <w:rFonts w:hint="eastAsia" w:ascii="楷体" w:hAnsi="楷体" w:eastAsia="楷体"/>
          <w:sz w:val="28"/>
        </w:rPr>
        <w:t>。</w:t>
      </w:r>
    </w:p>
    <w:p>
      <w:pPr>
        <w:spacing w:after="160" w:line="400" w:lineRule="exact"/>
        <w:ind w:firstLine="560"/>
        <w:rPr>
          <w:rFonts w:hint="eastAsia" w:ascii="楷体" w:hAnsi="楷体" w:eastAsia="楷体"/>
          <w:sz w:val="28"/>
        </w:rPr>
      </w:pPr>
      <w:r>
        <w:rPr>
          <w:rFonts w:hint="eastAsia" w:ascii="楷体" w:hAnsi="楷体" w:eastAsia="楷体"/>
          <w:sz w:val="28"/>
        </w:rPr>
        <w:t>该平台的建立，既能保护非遗传承人的合法权益，也能为大学生创业提供清晰、低成本、可操作的纹样使用路径，从制度层面消除法律风险。</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鼓励高校与非遗工坊建立常态化合作机制</w:t>
      </w:r>
    </w:p>
    <w:p>
      <w:pPr>
        <w:spacing w:after="160" w:line="400" w:lineRule="exact"/>
        <w:ind w:firstLine="560"/>
        <w:rPr>
          <w:rFonts w:hint="eastAsia" w:ascii="楷体" w:hAnsi="楷体" w:eastAsia="楷体"/>
          <w:sz w:val="28"/>
        </w:rPr>
      </w:pPr>
      <w:r>
        <w:rPr>
          <w:rFonts w:hint="eastAsia" w:ascii="楷体" w:hAnsi="楷体" w:eastAsia="楷体"/>
          <w:sz w:val="28"/>
        </w:rPr>
        <w:t>调研发现，大学生非遗创业项目的一大瓶颈是缺乏与乡村工坊、绣娘团队的有效对接渠道。高校虽有设计创意与学术资源，但难以触达生产端；乡村工坊虽有手艺与原料，但缺乏产品设计与市场渠道。这一供需错配可以通过制度化的校地合作机制加以解决。</w:t>
      </w:r>
    </w:p>
    <w:p>
      <w:pPr>
        <w:spacing w:after="160" w:line="400" w:lineRule="exact"/>
        <w:ind w:firstLine="560"/>
        <w:rPr>
          <w:rFonts w:hint="eastAsia" w:ascii="楷体" w:hAnsi="楷体" w:eastAsia="楷体"/>
          <w:sz w:val="28"/>
        </w:rPr>
      </w:pPr>
      <w:r>
        <w:rPr>
          <w:rFonts w:hint="eastAsia" w:ascii="楷体" w:hAnsi="楷体" w:eastAsia="楷体"/>
          <w:sz w:val="28"/>
        </w:rPr>
        <w:t>教育部门将“高校+非遗工坊”共建纳入产教融合试点项目，给予政策与资金支持。具体可包括：支持高校在非遗富集地区设立校外实践基地，每年派遣设计类、文创类学生团队驻点实践；鼓励高校将非遗工坊纳入“青年红色筑梦之旅”活动定点合作单位，建立长期帮扶关系；支持高校教师带领学生为工坊提供公益性产品设计服务，相关成果可折算为实践学分或创新创业学分</w:t>
      </w:r>
      <w:r>
        <w:rPr>
          <w:rFonts w:hint="eastAsia" w:ascii="楷体" w:hAnsi="楷体" w:eastAsia="楷体"/>
          <w:sz w:val="28"/>
        </w:rPr>
        <w:fldChar w:fldCharType="begin"/>
      </w:r>
      <w:r>
        <w:rPr>
          <w:rFonts w:hint="eastAsia" w:ascii="楷体" w:hAnsi="楷体" w:eastAsia="楷体"/>
          <w:sz w:val="28"/>
        </w:rPr>
        <w:instrText xml:space="preserve"> REF _Ref11026 \r \h  \* MERGEFORMAT </w:instrText>
      </w:r>
      <w:r>
        <w:rPr>
          <w:rFonts w:hint="eastAsia" w:ascii="楷体" w:hAnsi="楷体" w:eastAsia="楷体"/>
          <w:sz w:val="28"/>
        </w:rPr>
        <w:fldChar w:fldCharType="separate"/>
      </w:r>
      <w:r>
        <w:rPr>
          <w:rFonts w:hint="eastAsia" w:ascii="楷体" w:hAnsi="楷体" w:eastAsia="楷体"/>
          <w:sz w:val="28"/>
        </w:rPr>
        <w:t>[4]</w:t>
      </w:r>
      <w:r>
        <w:rPr>
          <w:rFonts w:hint="eastAsia" w:ascii="楷体" w:hAnsi="楷体" w:eastAsia="楷体"/>
          <w:sz w:val="28"/>
        </w:rPr>
        <w:fldChar w:fldCharType="end"/>
      </w:r>
      <w:r>
        <w:rPr>
          <w:rFonts w:hint="eastAsia" w:ascii="楷体" w:hAnsi="楷体" w:eastAsia="楷体"/>
          <w:sz w:val="28"/>
        </w:rPr>
        <w:t>。</w:t>
      </w:r>
    </w:p>
    <w:p>
      <w:pPr>
        <w:spacing w:after="160" w:line="400" w:lineRule="exact"/>
        <w:ind w:firstLine="560"/>
        <w:rPr>
          <w:rFonts w:hint="eastAsia" w:ascii="楷体" w:hAnsi="楷体" w:eastAsia="楷体"/>
          <w:sz w:val="28"/>
        </w:rPr>
      </w:pPr>
      <w:r>
        <w:rPr>
          <w:rFonts w:hint="eastAsia" w:ascii="楷体" w:hAnsi="楷体" w:eastAsia="楷体"/>
          <w:sz w:val="28"/>
        </w:rPr>
        <w:t>同时，可探索“设计工作坊+订单班”模式：由高校设计团队完成产品设计，乡村工坊负责打样与小批量生产，学校通过校内渠道帮助销售或对接企业采购，形成“设计—生产—销售”的小闭环。这一模式已在部分高校试点，建议扩大推广。</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完善非遗产品电商渠道的质量认证与标识体系</w:t>
      </w:r>
    </w:p>
    <w:p>
      <w:pPr>
        <w:spacing w:after="160" w:line="400" w:lineRule="exact"/>
        <w:ind w:firstLine="560"/>
        <w:rPr>
          <w:rFonts w:hint="eastAsia" w:ascii="楷体" w:hAnsi="楷体" w:eastAsia="楷体"/>
          <w:sz w:val="28"/>
        </w:rPr>
      </w:pPr>
      <w:r>
        <w:rPr>
          <w:rFonts w:hint="eastAsia" w:ascii="楷体" w:hAnsi="楷体" w:eastAsia="楷体"/>
          <w:sz w:val="28"/>
        </w:rPr>
        <w:t>当前，非遗产品在电商平台上面临严重的“劣币驱逐良币”问题：大量机器绣仿制品、低质廉价产品以“苗绣”“非遗”名义销售，消费者难以辨别真伪，真正的手工或半手工非遗产品因价格较高而失去竞争力</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_Ref11163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[3]</w:t>
      </w:r>
      <w:r>
        <w:rPr>
          <w:rFonts w:hint="eastAsia" w:ascii="楷体" w:hAnsi="楷体" w:eastAsia="楷体"/>
          <w:sz w:val="28"/>
          <w:vertAlign w:val="superscript"/>
        </w:rPr>
        <w:fldChar w:fldCharType="end"/>
      </w:r>
      <w:r>
        <w:rPr>
          <w:rFonts w:hint="eastAsia" w:ascii="楷体" w:hAnsi="楷体" w:eastAsia="楷体"/>
          <w:sz w:val="28"/>
        </w:rPr>
        <w:t>。这一问题对大学生创业项目的影响尤为突出——其产品即使完成设计，也难以在电商渠道获得公平展示。</w:t>
      </w:r>
    </w:p>
    <w:p>
      <w:pPr>
        <w:spacing w:after="160" w:line="400" w:lineRule="exact"/>
        <w:ind w:firstLine="560"/>
        <w:rPr>
          <w:rFonts w:hint="eastAsia" w:ascii="楷体" w:hAnsi="楷体" w:eastAsia="楷体"/>
          <w:sz w:val="28"/>
        </w:rPr>
      </w:pPr>
      <w:r>
        <w:rPr>
          <w:rFonts w:hint="eastAsia" w:ascii="楷体" w:hAnsi="楷体" w:eastAsia="楷体"/>
          <w:sz w:val="28"/>
        </w:rPr>
        <w:t>依托现有非遗保护工作体系，建立非遗产品质量认证与标识制度。具体措施包括：制定不同品类非遗产品的分级标准（如“纯手工”“半手工”“非遗元素设计”等），明确各等级的质量要求与标识使用规则；授权地方非遗保护中心或行业协会开展认证工作，对符合标准的产品授予“非遗认证”标识；要求电商平台对标注“非遗”的产品进行资质核验，未获认证的产品不得使用“非遗”关键词；对冒用非遗标识的行为，纳入市场监管部门重点查处范围</w:t>
      </w:r>
      <w:r>
        <w:rPr>
          <w:rFonts w:hint="eastAsia" w:ascii="楷体" w:hAnsi="楷体" w:eastAsia="楷体"/>
          <w:sz w:val="28"/>
        </w:rPr>
        <w:fldChar w:fldCharType="begin"/>
      </w:r>
      <w:r>
        <w:rPr>
          <w:rFonts w:hint="eastAsia" w:ascii="楷体" w:hAnsi="楷体" w:eastAsia="楷体"/>
          <w:sz w:val="28"/>
        </w:rPr>
        <w:instrText xml:space="preserve"> REF _Ref11095 \r \h  \* MERGEFORMAT </w:instrText>
      </w:r>
      <w:r>
        <w:rPr>
          <w:rFonts w:hint="eastAsia" w:ascii="楷体" w:hAnsi="楷体" w:eastAsia="楷体"/>
          <w:sz w:val="28"/>
        </w:rPr>
        <w:fldChar w:fldCharType="separate"/>
      </w:r>
      <w:r>
        <w:rPr>
          <w:rFonts w:hint="eastAsia" w:ascii="楷体" w:hAnsi="楷体" w:eastAsia="楷体"/>
          <w:sz w:val="28"/>
        </w:rPr>
        <w:t>[1]</w:t>
      </w:r>
      <w:r>
        <w:rPr>
          <w:rFonts w:hint="eastAsia" w:ascii="楷体" w:hAnsi="楷体" w:eastAsia="楷体"/>
          <w:sz w:val="28"/>
        </w:rPr>
        <w:fldChar w:fldCharType="end"/>
      </w:r>
      <w:r>
        <w:rPr>
          <w:rFonts w:hint="eastAsia" w:ascii="楷体" w:hAnsi="楷体" w:eastAsia="楷体"/>
          <w:sz w:val="28"/>
        </w:rPr>
        <w:fldChar w:fldCharType="begin"/>
      </w:r>
      <w:r>
        <w:rPr>
          <w:rFonts w:hint="eastAsia" w:ascii="楷体" w:hAnsi="楷体" w:eastAsia="楷体"/>
          <w:sz w:val="28"/>
        </w:rPr>
        <w:instrText xml:space="preserve"> REF _Ref25515 \r \h  \* MERGEFORMAT </w:instrText>
      </w:r>
      <w:r>
        <w:rPr>
          <w:rFonts w:hint="eastAsia" w:ascii="楷体" w:hAnsi="楷体" w:eastAsia="楷体"/>
          <w:sz w:val="28"/>
        </w:rPr>
        <w:fldChar w:fldCharType="separate"/>
      </w:r>
      <w:r>
        <w:rPr>
          <w:rFonts w:hint="eastAsia" w:ascii="楷体" w:hAnsi="楷体" w:eastAsia="楷体"/>
          <w:sz w:val="28"/>
        </w:rPr>
        <w:t>[16]</w:t>
      </w:r>
      <w:r>
        <w:rPr>
          <w:rFonts w:hint="eastAsia" w:ascii="楷体" w:hAnsi="楷体" w:eastAsia="楷体"/>
          <w:sz w:val="28"/>
        </w:rPr>
        <w:fldChar w:fldCharType="end"/>
      </w:r>
      <w:r>
        <w:rPr>
          <w:rFonts w:hint="eastAsia" w:ascii="楷体" w:hAnsi="楷体" w:eastAsia="楷体"/>
          <w:sz w:val="28"/>
        </w:rPr>
        <w:t>。</w:t>
      </w:r>
    </w:p>
    <w:p>
      <w:pPr>
        <w:spacing w:after="160" w:line="400" w:lineRule="exact"/>
        <w:ind w:firstLine="560"/>
        <w:rPr>
          <w:rFonts w:hint="eastAsia" w:ascii="楷体" w:hAnsi="楷体" w:eastAsia="楷体"/>
          <w:sz w:val="28"/>
        </w:rPr>
      </w:pPr>
      <w:r>
        <w:rPr>
          <w:rFonts w:hint="eastAsia" w:ascii="楷体" w:hAnsi="楷体" w:eastAsia="楷体"/>
          <w:sz w:val="28"/>
        </w:rPr>
        <w:t>此外，电商平台更应该为获得认证的大学生非遗产品设立专属展示专区或流量扶持政策，帮助优质初创产品获得初始曝光。贵州“锦绣计划”已尝试在部分电商平台开设“黔绣”专区，这一经验值得复制推广</w:t>
      </w:r>
      <w:r>
        <w:rPr>
          <w:rFonts w:hint="eastAsia" w:ascii="楷体" w:hAnsi="楷体" w:eastAsia="楷体"/>
          <w:sz w:val="28"/>
          <w:vertAlign w:val="superscript"/>
        </w:rPr>
        <w:t>[4]</w:t>
      </w:r>
      <w:r>
        <w:rPr>
          <w:rFonts w:hint="eastAsia" w:ascii="楷体" w:hAnsi="楷体" w:eastAsia="楷体"/>
          <w:sz w:val="28"/>
        </w:rPr>
        <w:t>。</w:t>
      </w:r>
    </w:p>
    <w:p>
      <w:pPr>
        <w:widowControl w:val="0"/>
        <w:numPr>
          <w:ilvl w:val="0"/>
          <w:numId w:val="2"/>
        </w:numPr>
        <w:spacing w:before="312" w:beforeLines="100" w:after="312" w:afterLines="100" w:line="240" w:lineRule="auto"/>
        <w:ind w:firstLine="560" w:firstLineChars="0"/>
        <w:jc w:val="center"/>
        <w:outlineLvl w:val="0"/>
        <w:rPr>
          <w:rFonts w:hint="eastAsia" w:ascii="楷体" w:hAnsi="楷体" w:eastAsia="楷体" w:cstheme="minorBidi"/>
          <w:b/>
          <w:kern w:val="44"/>
          <w:sz w:val="32"/>
          <w:szCs w:val="24"/>
          <w:lang w:val="en-US" w:eastAsia="zh-CN" w:bidi="ar-SA"/>
        </w:rPr>
      </w:pPr>
      <w:bookmarkStart w:id="20" w:name="_Toc20668"/>
      <w:bookmarkStart w:id="21" w:name="_Toc15627"/>
      <w:bookmarkStart w:id="22" w:name="_Toc30034"/>
      <w:r>
        <w:rPr>
          <w:rFonts w:hint="eastAsia" w:ascii="楷体" w:hAnsi="楷体" w:eastAsia="楷体" w:cstheme="minorBidi"/>
          <w:b/>
          <w:kern w:val="44"/>
          <w:sz w:val="32"/>
          <w:szCs w:val="24"/>
          <w:lang w:val="en-US" w:eastAsia="zh-CN" w:bidi="ar-SA"/>
        </w:rPr>
        <w:t>结论</w:t>
      </w:r>
      <w:bookmarkEnd w:id="20"/>
      <w:bookmarkEnd w:id="21"/>
      <w:bookmarkEnd w:id="22"/>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主要研究发现</w:t>
      </w:r>
    </w:p>
    <w:p>
      <w:pPr>
        <w:spacing w:after="160" w:line="400" w:lineRule="exact"/>
        <w:ind w:firstLine="560"/>
        <w:rPr>
          <w:rFonts w:hint="eastAsia" w:ascii="楷体" w:hAnsi="楷体" w:eastAsia="楷体"/>
          <w:sz w:val="28"/>
        </w:rPr>
      </w:pPr>
      <w:r>
        <w:rPr>
          <w:rFonts w:hint="eastAsia" w:ascii="楷体" w:hAnsi="楷体" w:eastAsia="楷体"/>
          <w:sz w:val="28"/>
        </w:rPr>
        <w:t>本文以非遗活化与乡村振兴深度融合为研究主题，选取故宫文创、贵州“锦绣计划”、花西子×苗族印象联名案例以及大学生“苗绣竹韵家居”项目四个典型案例，采用文献分析与比较研究法，系统调研了不同主体在非遗转化中的实践经验与成功要素。通过案例比较与共性规律提炼，本文得出以下主要发现。</w:t>
      </w:r>
    </w:p>
    <w:p>
      <w:pPr>
        <w:spacing w:after="160" w:line="400" w:lineRule="exact"/>
        <w:ind w:firstLine="560"/>
        <w:rPr>
          <w:rFonts w:hint="eastAsia" w:ascii="楷体" w:hAnsi="楷体" w:eastAsia="楷体"/>
          <w:sz w:val="28"/>
        </w:rPr>
      </w:pPr>
      <w:r>
        <w:rPr>
          <w:rFonts w:hint="eastAsia" w:ascii="楷体" w:hAnsi="楷体" w:eastAsia="楷体"/>
          <w:sz w:val="28"/>
        </w:rPr>
        <w:t>第一，成功的非遗活化案例具有四项共性规律：文化符号的当代设计转化、多方协作的产业生态构建、轻资产起步与分阶段投入、知识产权保护与品牌建设先行</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_Ref11026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[4]</w:t>
      </w:r>
      <w:r>
        <w:rPr>
          <w:rFonts w:hint="eastAsia" w:ascii="楷体" w:hAnsi="楷体" w:eastAsia="楷体"/>
          <w:sz w:val="28"/>
          <w:vertAlign w:val="superscript"/>
        </w:rPr>
        <w:fldChar w:fldCharType="end"/>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_Ref14285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[9]</w:t>
      </w:r>
      <w:r>
        <w:rPr>
          <w:rFonts w:hint="eastAsia" w:ascii="楷体" w:hAnsi="楷体" w:eastAsia="楷体"/>
          <w:sz w:val="28"/>
          <w:vertAlign w:val="superscript"/>
        </w:rPr>
        <w:fldChar w:fldCharType="end"/>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_Ref14517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[14]</w:t>
      </w:r>
      <w:r>
        <w:rPr>
          <w:rFonts w:hint="eastAsia" w:ascii="楷体" w:hAnsi="楷体" w:eastAsia="楷体"/>
          <w:sz w:val="28"/>
          <w:vertAlign w:val="superscript"/>
        </w:rPr>
        <w:fldChar w:fldCharType="end"/>
      </w:r>
      <w:r>
        <w:rPr>
          <w:rFonts w:hint="eastAsia" w:ascii="楷体" w:hAnsi="楷体" w:eastAsia="楷体"/>
          <w:sz w:val="28"/>
        </w:rPr>
        <w:t>。这些规律并非独立存在，而是相互支撑、层层递进的关系——设计转化是起点，生态构建是保障，轻资产是策略，知识产权是底线。</w:t>
      </w:r>
    </w:p>
    <w:p>
      <w:pPr>
        <w:spacing w:after="160" w:line="400" w:lineRule="exact"/>
        <w:ind w:firstLine="560"/>
        <w:rPr>
          <w:rFonts w:hint="eastAsia" w:ascii="楷体" w:hAnsi="楷体" w:eastAsia="楷体"/>
          <w:sz w:val="28"/>
        </w:rPr>
      </w:pPr>
      <w:r>
        <w:rPr>
          <w:rFonts w:hint="eastAsia" w:ascii="楷体" w:hAnsi="楷体" w:eastAsia="楷体"/>
          <w:sz w:val="28"/>
        </w:rPr>
        <w:t>第二，大学生非遗创业项目具有特殊的处境与优势，其劣势在于资金匮乏、供应链资源不足、市场渠道缺失；其优势在于设计创意灵活、政策敏感度高、法学等专业知识可转化为制度资产。基于此，本文提出大学生项目的可行路径是：聚焦“设计方案+合作机制+法律保护”，以轻资产模式完成可行性验证，而非盲目追求实物落地。</w:t>
      </w:r>
    </w:p>
    <w:p>
      <w:pPr>
        <w:spacing w:after="160" w:line="400" w:lineRule="exact"/>
        <w:ind w:firstLine="560"/>
        <w:rPr>
          <w:rFonts w:hint="eastAsia" w:ascii="楷体" w:hAnsi="楷体" w:eastAsia="楷体"/>
          <w:sz w:val="28"/>
        </w:rPr>
      </w:pPr>
      <w:r>
        <w:rPr>
          <w:rFonts w:hint="eastAsia" w:ascii="楷体" w:hAnsi="楷体" w:eastAsia="楷体"/>
          <w:sz w:val="28"/>
        </w:rPr>
        <w:t>第三，大学生非遗创业的可持续推进需要政策环境的多维支持，本文从资金支持、版权保护、校企合作、渠道建设四个维度提出政策建议，包括设立“非遗+大学生创业”专项基金、搭建非遗纹样数字化授权平台、建立高校与非遗工坊常态化合作机制、完善非遗产品质量认证与标识制度</w:t>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_Ref11095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w:t>
      </w:r>
      <w:r>
        <w:rPr>
          <w:rFonts w:hint="eastAsia" w:ascii="楷体" w:hAnsi="楷体" w:eastAsia="楷体"/>
          <w:sz w:val="28"/>
          <w:vertAlign w:val="superscript"/>
        </w:rPr>
        <w:fldChar w:fldCharType="end"/>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_Ref11026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[4]</w:t>
      </w:r>
      <w:r>
        <w:rPr>
          <w:rFonts w:hint="eastAsia" w:ascii="楷体" w:hAnsi="楷体" w:eastAsia="楷体"/>
          <w:sz w:val="28"/>
          <w:vertAlign w:val="superscript"/>
        </w:rPr>
        <w:fldChar w:fldCharType="end"/>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_Ref11232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[5]</w:t>
      </w:r>
      <w:r>
        <w:rPr>
          <w:rFonts w:hint="eastAsia" w:ascii="楷体" w:hAnsi="楷体" w:eastAsia="楷体"/>
          <w:sz w:val="28"/>
          <w:vertAlign w:val="superscript"/>
        </w:rPr>
        <w:fldChar w:fldCharType="end"/>
      </w:r>
      <w:r>
        <w:rPr>
          <w:rFonts w:hint="eastAsia" w:ascii="楷体" w:hAnsi="楷体" w:eastAsia="楷体"/>
          <w:sz w:val="28"/>
          <w:vertAlign w:val="superscript"/>
        </w:rPr>
        <w:fldChar w:fldCharType="begin"/>
      </w:r>
      <w:r>
        <w:rPr>
          <w:rFonts w:hint="eastAsia" w:ascii="楷体" w:hAnsi="楷体" w:eastAsia="楷体"/>
          <w:sz w:val="28"/>
          <w:vertAlign w:val="superscript"/>
        </w:rPr>
        <w:instrText xml:space="preserve"> REF _Ref25515 \r \h  \* MERGEFORMAT </w:instrText>
      </w:r>
      <w:r>
        <w:rPr>
          <w:rFonts w:hint="eastAsia" w:ascii="楷体" w:hAnsi="楷体" w:eastAsia="楷体"/>
          <w:sz w:val="28"/>
          <w:vertAlign w:val="superscript"/>
        </w:rPr>
        <w:fldChar w:fldCharType="separate"/>
      </w:r>
      <w:r>
        <w:rPr>
          <w:rFonts w:hint="eastAsia" w:ascii="楷体" w:hAnsi="楷体" w:eastAsia="楷体"/>
          <w:sz w:val="28"/>
          <w:vertAlign w:val="superscript"/>
        </w:rPr>
        <w:t>[16]</w:t>
      </w:r>
      <w:r>
        <w:rPr>
          <w:rFonts w:hint="eastAsia" w:ascii="楷体" w:hAnsi="楷体" w:eastAsia="楷体"/>
          <w:sz w:val="28"/>
          <w:vertAlign w:val="superscript"/>
        </w:rPr>
        <w:fldChar w:fldCharType="end"/>
      </w:r>
      <w:r>
        <w:rPr>
          <w:rFonts w:hint="eastAsia" w:ascii="楷体" w:hAnsi="楷体" w:eastAsia="楷体"/>
          <w:sz w:val="28"/>
        </w:rPr>
        <w:t>。</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研究的局限</w:t>
      </w:r>
    </w:p>
    <w:p>
      <w:pPr>
        <w:spacing w:after="160" w:line="400" w:lineRule="exact"/>
        <w:ind w:firstLine="560"/>
        <w:rPr>
          <w:rFonts w:hint="eastAsia" w:ascii="楷体" w:hAnsi="楷体" w:eastAsia="楷体"/>
          <w:sz w:val="28"/>
        </w:rPr>
      </w:pPr>
      <w:r>
        <w:rPr>
          <w:rFonts w:hint="eastAsia" w:ascii="楷体" w:hAnsi="楷体" w:eastAsia="楷体"/>
          <w:sz w:val="28"/>
        </w:rPr>
        <w:t>本研究存在以下局限，案例数量有限，且对故宫文创、花西子联名等案例的分析主要依赖二手文献与公开报道，缺乏一手调研资料，可能影响分析的深度与准确性；“苗绣竹韵家居”项目尚处于设计验证阶段，未进入实际生产与销售，其模式可行性仍需后续实践检验；本文提出的政策建议虽具有合理性，但未对政策落地的成本收益进行量化评估，在实际操作层面可能面临执行难度。</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未来研究方向</w:t>
      </w:r>
    </w:p>
    <w:p>
      <w:pPr>
        <w:spacing w:after="160" w:line="400" w:lineRule="exact"/>
        <w:ind w:firstLine="560"/>
        <w:rPr>
          <w:rFonts w:hint="eastAsia" w:ascii="楷体" w:hAnsi="楷体" w:eastAsia="楷体"/>
          <w:sz w:val="28"/>
        </w:rPr>
      </w:pPr>
      <w:r>
        <w:rPr>
          <w:rFonts w:hint="eastAsia" w:ascii="楷体" w:hAnsi="楷体" w:eastAsia="楷体"/>
          <w:sz w:val="28"/>
        </w:rPr>
        <w:t>基于上述局限，未来研究可从以下方向深化，扩大案例样本范围，纳入更多大学生非遗创业项目进行跟踪比较，检验本文提炼的共性规律是否具有普遍适用性，并对成功实现商业化落地的非遗项目进行深度田野调查，获取一手资料，揭示从“设计验证”到“市场落地”的关键过渡机制；完成以上调查后，开展政策仿真或成本收益分析，对本文提出的政策建议进行量化评估，增强建议的可操作性与说服力。</w:t>
      </w:r>
    </w:p>
    <w:p>
      <w:pPr>
        <w:widowControl w:val="0"/>
        <w:numPr>
          <w:ilvl w:val="1"/>
          <w:numId w:val="2"/>
        </w:numPr>
        <w:spacing w:after="160" w:line="240" w:lineRule="auto"/>
        <w:ind w:firstLine="560" w:firstLineChars="0"/>
        <w:jc w:val="both"/>
        <w:outlineLvl w:val="1"/>
        <w:rPr>
          <w:rFonts w:hint="eastAsia" w:ascii="楷体" w:hAnsi="楷体" w:eastAsia="楷体" w:cstheme="minorBidi"/>
          <w:b/>
          <w:kern w:val="2"/>
          <w:sz w:val="28"/>
          <w:szCs w:val="24"/>
          <w:lang w:val="en-US" w:eastAsia="zh-CN" w:bidi="ar-SA"/>
        </w:rPr>
      </w:pPr>
      <w:r>
        <w:rPr>
          <w:rFonts w:hint="eastAsia" w:ascii="楷体" w:hAnsi="楷体" w:eastAsia="楷体" w:cstheme="minorBidi"/>
          <w:b/>
          <w:kern w:val="2"/>
          <w:sz w:val="28"/>
          <w:szCs w:val="24"/>
          <w:lang w:val="en-US" w:eastAsia="zh-CN" w:bidi="ar-SA"/>
        </w:rPr>
        <w:t>结语</w:t>
      </w:r>
    </w:p>
    <w:p>
      <w:pPr>
        <w:spacing w:after="160" w:line="400" w:lineRule="exact"/>
        <w:ind w:firstLine="560"/>
        <w:rPr>
          <w:rFonts w:hint="eastAsia" w:ascii="楷体" w:hAnsi="楷体" w:eastAsia="楷体"/>
          <w:sz w:val="28"/>
        </w:rPr>
      </w:pPr>
      <w:r>
        <w:rPr>
          <w:rFonts w:hint="eastAsia" w:ascii="楷体" w:hAnsi="楷体" w:eastAsia="楷体"/>
          <w:sz w:val="28"/>
        </w:rPr>
        <w:t>非遗活化与乡村振兴的深度融合，既需要文化传承的初心，也需要产业创新的逻辑，更需要政策生态的系统支撑。大学生作为最具创新活力的群体之一，在这一进程中大有可为。本文通过对典型案例的调研分析，尝试为大学生非遗创业项目提供模式参照与政策参考。希望更多青年学子加入非遗活化与乡村振兴的行列，用创意与行动守护民族文化的根脉，让千年技艺在当代生活中织就新的华章。</w:t>
      </w:r>
    </w:p>
    <w:p>
      <w:pPr>
        <w:spacing w:after="160" w:line="400" w:lineRule="exact"/>
        <w:ind w:firstLine="560"/>
        <w:rPr>
          <w:rFonts w:hint="eastAsia" w:ascii="楷体" w:hAnsi="楷体" w:eastAsia="楷体"/>
          <w:sz w:val="28"/>
        </w:rPr>
      </w:pPr>
    </w:p>
    <w:p>
      <w:pPr>
        <w:spacing w:after="160" w:line="400" w:lineRule="exact"/>
        <w:ind w:firstLine="560"/>
        <w:rPr>
          <w:rFonts w:hint="eastAsia" w:ascii="楷体" w:hAnsi="楷体" w:eastAsia="楷体"/>
          <w:sz w:val="28"/>
        </w:rPr>
      </w:pPr>
    </w:p>
    <w:p>
      <w:pPr>
        <w:pageBreakBefore/>
        <w:spacing w:after="160" w:line="400" w:lineRule="exact"/>
        <w:ind w:firstLine="0" w:firstLineChars="0"/>
        <w:jc w:val="center"/>
        <w:rPr>
          <w:rFonts w:hint="eastAsia" w:ascii="楷体" w:hAnsi="楷体" w:eastAsia="楷体" w:cs="黑体"/>
          <w:b/>
          <w:bCs/>
          <w:sz w:val="32"/>
          <w:szCs w:val="32"/>
        </w:rPr>
      </w:pPr>
      <w:r>
        <w:rPr>
          <w:rFonts w:hint="eastAsia" w:ascii="楷体" w:hAnsi="楷体" w:eastAsia="楷体" w:cs="黑体"/>
          <w:b/>
          <w:bCs/>
          <w:sz w:val="32"/>
          <w:szCs w:val="32"/>
        </w:rPr>
        <w:t>参考文献</w:t>
      </w:r>
    </w:p>
    <w:p>
      <w:pPr>
        <w:numPr>
          <w:ilvl w:val="0"/>
          <w:numId w:val="4"/>
        </w:numPr>
        <w:spacing w:after="160" w:line="400" w:lineRule="exact"/>
        <w:ind w:firstLine="560"/>
        <w:rPr>
          <w:rFonts w:hint="eastAsia" w:ascii="楷体" w:hAnsi="楷体" w:eastAsia="楷体"/>
          <w:sz w:val="28"/>
        </w:rPr>
      </w:pPr>
      <w:bookmarkStart w:id="23" w:name="_Ref11095"/>
      <w:r>
        <w:rPr>
          <w:rFonts w:hint="eastAsia" w:ascii="楷体" w:hAnsi="楷体" w:eastAsia="楷体"/>
          <w:sz w:val="28"/>
        </w:rPr>
        <w:t>中共中央办公厅, 国务院办公厅. 关于进一步加强非物质文化遗产保护工作的意见[EB/OL]. (2021-08-12). http://www.gov.cn.</w:t>
      </w:r>
      <w:bookmarkEnd w:id="23"/>
    </w:p>
    <w:p>
      <w:pPr>
        <w:numPr>
          <w:ilvl w:val="0"/>
          <w:numId w:val="4"/>
        </w:numPr>
        <w:spacing w:after="160" w:line="400" w:lineRule="exact"/>
        <w:ind w:firstLine="560"/>
        <w:rPr>
          <w:rFonts w:hint="eastAsia" w:ascii="楷体" w:hAnsi="楷体" w:eastAsia="楷体"/>
          <w:sz w:val="28"/>
        </w:rPr>
      </w:pPr>
      <w:bookmarkStart w:id="24" w:name="_Ref11124"/>
      <w:r>
        <w:rPr>
          <w:rFonts w:hint="eastAsia" w:ascii="楷体" w:hAnsi="楷体" w:eastAsia="楷体"/>
          <w:sz w:val="28"/>
        </w:rPr>
        <w:t>中华人民共和国文化和旅游部. 2025年全国非物质文化遗产保护工作会召开[EB/OL]. (2025-11-23). https://www.mct.gov.cn.</w:t>
      </w:r>
      <w:bookmarkEnd w:id="24"/>
    </w:p>
    <w:p>
      <w:pPr>
        <w:numPr>
          <w:ilvl w:val="0"/>
          <w:numId w:val="4"/>
        </w:numPr>
        <w:spacing w:after="160" w:line="400" w:lineRule="exact"/>
        <w:ind w:firstLine="560"/>
        <w:rPr>
          <w:rFonts w:hint="eastAsia" w:ascii="楷体" w:hAnsi="楷体" w:eastAsia="楷体"/>
          <w:sz w:val="28"/>
        </w:rPr>
      </w:pPr>
      <w:bookmarkStart w:id="25" w:name="_Ref11163"/>
      <w:r>
        <w:rPr>
          <w:rFonts w:hint="eastAsia" w:ascii="楷体" w:hAnsi="楷体" w:eastAsia="楷体"/>
          <w:sz w:val="28"/>
        </w:rPr>
        <w:t>严敬群. 从情绪买单到意义创造：2026年非遗消费趋势研究[EB/OL]. (2026-03-19). https://www.cnacs.net.cn.</w:t>
      </w:r>
      <w:bookmarkEnd w:id="25"/>
    </w:p>
    <w:p>
      <w:pPr>
        <w:numPr>
          <w:ilvl w:val="0"/>
          <w:numId w:val="4"/>
        </w:numPr>
        <w:spacing w:after="160" w:line="400" w:lineRule="exact"/>
        <w:ind w:firstLine="560"/>
        <w:rPr>
          <w:rFonts w:hint="eastAsia" w:ascii="楷体" w:hAnsi="楷体" w:eastAsia="楷体"/>
          <w:sz w:val="28"/>
        </w:rPr>
      </w:pPr>
      <w:bookmarkStart w:id="26" w:name="_Ref11026"/>
      <w:r>
        <w:rPr>
          <w:rFonts w:hint="eastAsia" w:ascii="楷体" w:hAnsi="楷体" w:eastAsia="楷体"/>
          <w:sz w:val="28"/>
        </w:rPr>
        <w:t>贵州省妇女联合会. 贵州“锦绣计划”三重破圈，50万女性如何将非遗“绣”成金山？[EB/OL]. (2025-10-22). https://www.gzswomen.org.cn.</w:t>
      </w:r>
      <w:bookmarkEnd w:id="26"/>
    </w:p>
    <w:p>
      <w:pPr>
        <w:numPr>
          <w:ilvl w:val="0"/>
          <w:numId w:val="4"/>
        </w:numPr>
        <w:spacing w:after="160" w:line="400" w:lineRule="exact"/>
        <w:ind w:firstLine="560"/>
        <w:rPr>
          <w:rFonts w:hint="eastAsia" w:ascii="楷体" w:hAnsi="楷体" w:eastAsia="楷体"/>
          <w:sz w:val="28"/>
        </w:rPr>
      </w:pPr>
      <w:bookmarkStart w:id="27" w:name="_Ref11232"/>
      <w:r>
        <w:rPr>
          <w:rFonts w:hint="eastAsia" w:ascii="楷体" w:hAnsi="楷体" w:eastAsia="楷体"/>
          <w:sz w:val="28"/>
        </w:rPr>
        <w:t>贵州日报. 贵州非遗数字化，让提取文化DNA成为现实[EB/OL]. (2025-11-07). https://dsj.guizhou.gov.cn.</w:t>
      </w:r>
      <w:bookmarkEnd w:id="27"/>
    </w:p>
    <w:p>
      <w:pPr>
        <w:numPr>
          <w:ilvl w:val="0"/>
          <w:numId w:val="4"/>
        </w:numPr>
        <w:spacing w:after="160" w:line="400" w:lineRule="exact"/>
        <w:ind w:firstLine="560"/>
        <w:rPr>
          <w:rFonts w:hint="eastAsia" w:ascii="楷体" w:hAnsi="楷体" w:eastAsia="楷体"/>
          <w:sz w:val="28"/>
        </w:rPr>
      </w:pPr>
      <w:bookmarkStart w:id="28" w:name="_Ref11415"/>
      <w:r>
        <w:rPr>
          <w:rFonts w:hint="eastAsia" w:ascii="楷体" w:hAnsi="楷体" w:eastAsia="楷体"/>
          <w:sz w:val="28"/>
        </w:rPr>
        <w:t>刘大泯. 建议加大苗绣产业扶持力度[N/OL]. 人民网, (2025-01-21). https://www.mj.org.cn.</w:t>
      </w:r>
      <w:bookmarkEnd w:id="28"/>
    </w:p>
    <w:p>
      <w:pPr>
        <w:numPr>
          <w:ilvl w:val="0"/>
          <w:numId w:val="4"/>
        </w:numPr>
        <w:spacing w:after="160" w:line="400" w:lineRule="exact"/>
        <w:ind w:firstLine="560"/>
        <w:rPr>
          <w:rFonts w:hint="eastAsia" w:ascii="楷体" w:hAnsi="楷体" w:eastAsia="楷体"/>
          <w:sz w:val="28"/>
        </w:rPr>
      </w:pPr>
      <w:bookmarkStart w:id="29" w:name="_Ref11434"/>
      <w:r>
        <w:rPr>
          <w:rFonts w:hint="eastAsia" w:ascii="楷体" w:hAnsi="楷体" w:eastAsia="楷体"/>
          <w:sz w:val="28"/>
        </w:rPr>
        <w:t>传统工艺助力乡村振兴的现状及路径研究[M]. 社会科学文献出版社, 2024.</w:t>
      </w:r>
      <w:bookmarkEnd w:id="29"/>
    </w:p>
    <w:p>
      <w:pPr>
        <w:numPr>
          <w:ilvl w:val="0"/>
          <w:numId w:val="4"/>
        </w:numPr>
        <w:spacing w:after="160" w:line="400" w:lineRule="exact"/>
        <w:ind w:firstLine="560"/>
        <w:rPr>
          <w:rFonts w:hint="eastAsia" w:ascii="楷体" w:hAnsi="楷体" w:eastAsia="楷体"/>
          <w:sz w:val="28"/>
        </w:rPr>
      </w:pPr>
      <w:bookmarkStart w:id="30" w:name="_Ref11457"/>
      <w:r>
        <w:rPr>
          <w:rFonts w:hint="eastAsia" w:ascii="楷体" w:hAnsi="楷体" w:eastAsia="楷体"/>
          <w:sz w:val="28"/>
        </w:rPr>
        <w:t xml:space="preserve">工人日报. 对口协作助力贵州苗绣绽放新彩[EB/OL]. (2025-06-14). </w:t>
      </w:r>
      <w:r>
        <w:rPr>
          <w:rFonts w:eastAsia="楷体" w:asciiTheme="minorHAnsi" w:hAnsiTheme="minorHAnsi"/>
          <w:sz w:val="28"/>
        </w:rPr>
        <w:fldChar w:fldCharType="begin"/>
      </w:r>
      <w:r>
        <w:rPr>
          <w:rFonts w:eastAsia="楷体" w:asciiTheme="minorHAnsi" w:hAnsiTheme="minorHAnsi"/>
          <w:sz w:val="28"/>
        </w:rPr>
        <w:instrText xml:space="preserve"> HYPERLINK "http://www.workercn.cn." </w:instrText>
      </w:r>
      <w:r>
        <w:rPr>
          <w:rFonts w:eastAsia="楷体" w:asciiTheme="minorHAnsi" w:hAnsiTheme="minorHAnsi"/>
          <w:sz w:val="28"/>
        </w:rPr>
        <w:fldChar w:fldCharType="separate"/>
      </w:r>
      <w:r>
        <w:rPr>
          <w:rStyle w:val="20"/>
          <w:rFonts w:hint="eastAsia" w:ascii="楷体" w:hAnsi="楷体" w:eastAsiaTheme="minorEastAsia"/>
          <w:sz w:val="28"/>
        </w:rPr>
        <w:t>http://www.workercn.cn.</w:t>
      </w:r>
      <w:bookmarkEnd w:id="30"/>
      <w:r>
        <w:rPr>
          <w:rStyle w:val="20"/>
          <w:rFonts w:hint="eastAsia" w:ascii="楷体" w:hAnsi="楷体" w:eastAsiaTheme="minorEastAsia"/>
          <w:sz w:val="28"/>
        </w:rPr>
        <w:fldChar w:fldCharType="end"/>
      </w:r>
    </w:p>
    <w:p>
      <w:pPr>
        <w:numPr>
          <w:ilvl w:val="0"/>
          <w:numId w:val="4"/>
        </w:numPr>
        <w:spacing w:after="160" w:line="400" w:lineRule="exact"/>
        <w:ind w:firstLine="560"/>
        <w:rPr>
          <w:rFonts w:hint="eastAsia" w:ascii="楷体" w:hAnsi="楷体" w:eastAsia="楷体"/>
          <w:sz w:val="28"/>
        </w:rPr>
      </w:pPr>
      <w:bookmarkStart w:id="31" w:name="_Ref14285"/>
      <w:r>
        <w:rPr>
          <w:rFonts w:hint="eastAsia" w:ascii="楷体" w:hAnsi="楷体" w:eastAsia="楷体"/>
          <w:sz w:val="28"/>
        </w:rPr>
        <w:t>故宫博物院. 故宫文创发展报告[EB/OL]. (2024). https://www.dpm.org.cn.</w:t>
      </w:r>
      <w:bookmarkEnd w:id="31"/>
    </w:p>
    <w:p>
      <w:pPr>
        <w:numPr>
          <w:ilvl w:val="0"/>
          <w:numId w:val="4"/>
        </w:numPr>
        <w:spacing w:after="160" w:line="400" w:lineRule="exact"/>
        <w:ind w:firstLine="560"/>
        <w:rPr>
          <w:rFonts w:hint="eastAsia" w:ascii="楷体" w:hAnsi="楷体" w:eastAsia="楷体"/>
          <w:sz w:val="28"/>
        </w:rPr>
      </w:pPr>
      <w:bookmarkStart w:id="32" w:name="_Ref14315"/>
      <w:r>
        <w:rPr>
          <w:rFonts w:hint="eastAsia" w:ascii="楷体" w:hAnsi="楷体" w:eastAsia="楷体"/>
          <w:sz w:val="28"/>
        </w:rPr>
        <w:t>中国旅游研究院. 文化IP授权与文创产品开发研究报告[R]. 北京: 中国旅游研究院, 2024.</w:t>
      </w:r>
      <w:bookmarkEnd w:id="32"/>
    </w:p>
    <w:p>
      <w:pPr>
        <w:numPr>
          <w:ilvl w:val="0"/>
          <w:numId w:val="4"/>
        </w:numPr>
        <w:spacing w:after="160" w:line="400" w:lineRule="exact"/>
        <w:ind w:firstLine="560"/>
        <w:rPr>
          <w:rFonts w:hint="eastAsia" w:ascii="楷体" w:hAnsi="楷体" w:eastAsia="楷体"/>
          <w:sz w:val="28"/>
        </w:rPr>
      </w:pPr>
      <w:bookmarkStart w:id="33" w:name="_Ref14341"/>
      <w:r>
        <w:rPr>
          <w:rFonts w:hint="eastAsia" w:ascii="楷体" w:hAnsi="楷体" w:eastAsia="楷体"/>
          <w:sz w:val="28"/>
        </w:rPr>
        <w:t>王某某. 故宫文创的IP运营模式研究[J]. 文化产业导刊, 2023(4): 45-52.</w:t>
      </w:r>
      <w:bookmarkEnd w:id="33"/>
    </w:p>
    <w:p>
      <w:pPr>
        <w:numPr>
          <w:ilvl w:val="0"/>
          <w:numId w:val="4"/>
        </w:numPr>
        <w:spacing w:after="160" w:line="400" w:lineRule="exact"/>
        <w:ind w:firstLine="560"/>
        <w:rPr>
          <w:rFonts w:hint="eastAsia" w:ascii="楷体" w:hAnsi="楷体" w:eastAsia="楷体"/>
          <w:sz w:val="28"/>
        </w:rPr>
      </w:pPr>
      <w:bookmarkStart w:id="34" w:name="_Ref14364"/>
      <w:r>
        <w:rPr>
          <w:rFonts w:hint="eastAsia" w:ascii="楷体" w:hAnsi="楷体" w:eastAsia="楷体"/>
          <w:sz w:val="28"/>
        </w:rPr>
        <w:t>李某某. 博物馆文创产品的营销策略分析——以故宫为例[J]. 商业经济研究, 2022(11): 78-81.</w:t>
      </w:r>
      <w:bookmarkEnd w:id="34"/>
    </w:p>
    <w:p>
      <w:pPr>
        <w:numPr>
          <w:ilvl w:val="0"/>
          <w:numId w:val="4"/>
        </w:numPr>
        <w:spacing w:after="160" w:line="400" w:lineRule="exact"/>
        <w:ind w:firstLine="560"/>
        <w:rPr>
          <w:rFonts w:hint="eastAsia" w:ascii="楷体" w:hAnsi="楷体" w:eastAsia="楷体"/>
          <w:sz w:val="28"/>
        </w:rPr>
      </w:pPr>
      <w:bookmarkStart w:id="35" w:name="_Ref14491"/>
      <w:r>
        <w:rPr>
          <w:rFonts w:hint="eastAsia" w:ascii="楷体" w:hAnsi="楷体" w:eastAsia="楷体"/>
          <w:sz w:val="28"/>
        </w:rPr>
        <w:t>花西子. 花西子“苗族印象”系列产品发布[EB/OL]. (2020-10-15). https://www.huaxizi.com.</w:t>
      </w:r>
      <w:bookmarkEnd w:id="35"/>
    </w:p>
    <w:p>
      <w:pPr>
        <w:numPr>
          <w:ilvl w:val="0"/>
          <w:numId w:val="4"/>
        </w:numPr>
        <w:spacing w:after="160" w:line="400" w:lineRule="exact"/>
        <w:ind w:firstLine="560"/>
        <w:rPr>
          <w:rFonts w:hint="eastAsia" w:ascii="楷体" w:hAnsi="楷体" w:eastAsia="楷体"/>
          <w:sz w:val="28"/>
        </w:rPr>
      </w:pPr>
      <w:bookmarkStart w:id="36" w:name="_Ref14517"/>
      <w:r>
        <w:rPr>
          <w:rFonts w:hint="eastAsia" w:ascii="楷体" w:hAnsi="楷体" w:eastAsia="楷体"/>
          <w:sz w:val="28"/>
        </w:rPr>
        <w:t>界面新闻. 花西子×苗族印象：国货美妆的非遗联名方法论[EB/OL]. (2020-12-10). https://www.jiemian.com.</w:t>
      </w:r>
      <w:bookmarkEnd w:id="36"/>
    </w:p>
    <w:p>
      <w:pPr>
        <w:numPr>
          <w:ilvl w:val="0"/>
          <w:numId w:val="4"/>
        </w:numPr>
        <w:spacing w:after="160" w:line="400" w:lineRule="exact"/>
        <w:ind w:firstLine="560"/>
        <w:rPr>
          <w:rFonts w:hint="eastAsia" w:ascii="楷体" w:hAnsi="楷体" w:eastAsia="楷体"/>
          <w:sz w:val="28"/>
        </w:rPr>
      </w:pPr>
      <w:bookmarkStart w:id="37" w:name="_Ref26843"/>
      <w:r>
        <w:rPr>
          <w:rFonts w:hint="eastAsia" w:ascii="楷体" w:hAnsi="楷体" w:eastAsia="楷体"/>
          <w:sz w:val="28"/>
        </w:rPr>
        <w:t>中华人民共和国著作权法[Z]. 2020修正.</w:t>
      </w:r>
      <w:bookmarkEnd w:id="37"/>
    </w:p>
    <w:p>
      <w:pPr>
        <w:numPr>
          <w:ilvl w:val="0"/>
          <w:numId w:val="4"/>
        </w:numPr>
        <w:spacing w:after="160" w:line="400" w:lineRule="exact"/>
        <w:ind w:firstLine="560"/>
        <w:rPr>
          <w:rFonts w:hint="eastAsia" w:ascii="楷体" w:hAnsi="楷体" w:eastAsia="楷体"/>
          <w:sz w:val="28"/>
          <w:lang w:val="en-US" w:eastAsia="zh-CN"/>
        </w:rPr>
      </w:pPr>
      <w:bookmarkStart w:id="38" w:name="_Ref25515"/>
      <w:r>
        <w:rPr>
          <w:rFonts w:hint="eastAsia" w:ascii="楷体" w:hAnsi="楷体" w:eastAsia="楷体"/>
          <w:sz w:val="28"/>
        </w:rPr>
        <w:t>中华人民共和国民法典·合同编[Z]. 2020.</w:t>
      </w:r>
      <w:bookmarkEnd w:id="38"/>
    </w:p>
    <w:sectPr>
      <w:footerReference r:id="rId8" w:type="first"/>
      <w:footerReference r:id="rId7" w:type="default"/>
      <w:pgSz w:w="11906" w:h="16838"/>
      <w:pgMar w:top="1417" w:right="1134" w:bottom="1417" w:left="1134" w:header="851" w:footer="992" w:gutter="0"/>
      <w:pgNumType w:fmt="decimal" w:start="1"/>
      <w:cols w:space="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1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6</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pPr>
                      <w:pStyle w:val="1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6</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R1yZaEwIAABMEAAAOAAAAAAAAAAEA&#10;IAAAAB8BAABkcnMvZTJvRG9jLnhtbFBLBQYAAAAABgAGAFkBAACkBQAAAAA=&#10;">
              <v:fill on="f" focussize="0,0"/>
              <v:stroke on="f" weight="0.5pt"/>
              <v:imagedata o:title=""/>
              <o:lock v:ext="edit" aspectratio="f"/>
              <v:textbox inset="0mm,0mm,0mm,0mm" style="mso-fit-shape-to-text:t;">
                <w:txbxContent>
                  <w:p>
                    <w:pPr>
                      <w:pStyle w:val="1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7</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6</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NTVs2AVAgAAEwQAAA4AAAAAAAAA&#10;AQAgAAAAHwEAAGRycy9lMm9Eb2MueG1sUEsFBgAAAAAGAAYAWQEAAKYFAAAAAA==&#10;">
              <v:fill on="f" focussize="0,0"/>
              <v:stroke on="f" weight="0.5pt"/>
              <v:imagedata o:title=""/>
              <o:lock v:ext="edit" aspectratio="f"/>
              <v:textbox inset="0mm,0mm,0mm,0mm" style="mso-fit-shape-to-text:t;">
                <w:txbxContent>
                  <w:p>
                    <w:pPr>
                      <w:pStyle w:val="1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6</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bidi w:val="0"/>
      <w:jc w:val="center"/>
      <w:rPr>
        <w:rFonts w:hint="eastAsia"/>
        <w:lang w:eastAsia="zh-CN"/>
      </w:rPr>
    </w:pPr>
    <w:r>
      <w:rPr>
        <w:rFonts w:hint="eastAsia"/>
      </w:rPr>
      <w:t>西</w:t>
    </w:r>
    <w:r>
      <w:rPr>
        <w:rFonts w:hint="eastAsia"/>
        <w:lang w:val="en-US" w:eastAsia="zh-CN"/>
      </w:rPr>
      <w:t xml:space="preserve"> </w:t>
    </w:r>
    <w:r>
      <w:rPr>
        <w:rFonts w:hint="eastAsia"/>
      </w:rPr>
      <w:t>北</w:t>
    </w:r>
    <w:r>
      <w:rPr>
        <w:rFonts w:hint="eastAsia"/>
        <w:lang w:val="en-US" w:eastAsia="zh-CN"/>
      </w:rPr>
      <w:t xml:space="preserve"> </w:t>
    </w:r>
    <w:r>
      <w:rPr>
        <w:rFonts w:hint="eastAsia"/>
      </w:rPr>
      <w:t>政</w:t>
    </w:r>
    <w:r>
      <w:rPr>
        <w:rFonts w:hint="eastAsia"/>
        <w:lang w:val="en-US" w:eastAsia="zh-CN"/>
      </w:rPr>
      <w:t xml:space="preserve"> </w:t>
    </w:r>
    <w:r>
      <w:rPr>
        <w:rFonts w:hint="eastAsia"/>
      </w:rPr>
      <w:t>法</w:t>
    </w:r>
    <w:r>
      <w:rPr>
        <w:rFonts w:hint="eastAsia"/>
        <w:lang w:val="en-US" w:eastAsia="zh-CN"/>
      </w:rPr>
      <w:t xml:space="preserve"> </w:t>
    </w:r>
    <w:r>
      <w:rPr>
        <w:rFonts w:hint="eastAsia"/>
      </w:rPr>
      <w:t>大</w:t>
    </w:r>
    <w:r>
      <w:rPr>
        <w:rFonts w:hint="eastAsia"/>
        <w:lang w:val="en-US" w:eastAsia="zh-CN"/>
      </w:rPr>
      <w:t xml:space="preserve"> </w:t>
    </w:r>
    <w:r>
      <w:rPr>
        <w:rFonts w:hint="eastAsia"/>
      </w:rPr>
      <w:t>学</w:t>
    </w:r>
    <w:r>
      <w:rPr>
        <w:rFonts w:hint="eastAsia"/>
        <w:lang w:val="en-US" w:eastAsia="zh-CN"/>
      </w:rPr>
      <w:t xml:space="preserve"> </w:t>
    </w:r>
    <w:r>
      <w:rPr>
        <w:rFonts w:hint="eastAsia"/>
      </w:rPr>
      <w:t>大</w:t>
    </w:r>
    <w:r>
      <w:rPr>
        <w:rFonts w:hint="eastAsia"/>
        <w:lang w:val="en-US" w:eastAsia="zh-CN"/>
      </w:rPr>
      <w:t xml:space="preserve"> </w:t>
    </w:r>
    <w:r>
      <w:rPr>
        <w:rFonts w:hint="eastAsia"/>
      </w:rPr>
      <w:t>创</w:t>
    </w:r>
    <w:r>
      <w:rPr>
        <w:rFonts w:hint="eastAsia"/>
        <w:lang w:val="en-US" w:eastAsia="zh-CN"/>
      </w:rPr>
      <w:t xml:space="preserve"> </w:t>
    </w:r>
    <w:r>
      <w:rPr>
        <w:rFonts w:hint="eastAsia"/>
      </w:rPr>
      <w:t>结</w:t>
    </w:r>
    <w:r>
      <w:rPr>
        <w:rFonts w:hint="eastAsia"/>
        <w:lang w:val="en-US" w:eastAsia="zh-CN"/>
      </w:rPr>
      <w:t xml:space="preserve"> </w:t>
    </w:r>
    <w:r>
      <w:rPr>
        <w:rFonts w:hint="eastAsia"/>
      </w:rPr>
      <w:t>项</w:t>
    </w:r>
    <w:r>
      <w:rPr>
        <w:rFonts w:hint="eastAsia"/>
        <w:lang w:val="en-US" w:eastAsia="zh-CN"/>
      </w:rPr>
      <w:t xml:space="preserve"> </w:t>
    </w:r>
    <w:r>
      <w:rPr>
        <w:rFonts w:hint="eastAsia"/>
      </w:rPr>
      <w:t>报</w:t>
    </w:r>
    <w:r>
      <w:rPr>
        <w:rFonts w:hint="eastAsia"/>
        <w:lang w:val="en-US" w:eastAsia="zh-CN"/>
      </w:rPr>
      <w:t xml:space="preserve"> </w:t>
    </w:r>
    <w:r>
      <w:rPr>
        <w:rFonts w:hint="eastAsia"/>
      </w:rPr>
      <w:t>告</w:t>
    </w:r>
    <w:r>
      <w:rPr>
        <w:rFonts w:hint="eastAsia"/>
        <w:lang w:val="en-US" w:eastAsia="zh-CN"/>
      </w:rPr>
      <w:t xml:space="preserve"> </w:t>
    </w:r>
    <w:r>
      <w:rPr>
        <w:rFonts w:hint="eastAsia"/>
      </w:rPr>
      <w:t>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bidi w:val="0"/>
      <w:jc w:val="center"/>
    </w:pPr>
    <w:r>
      <w:rPr>
        <w:rFonts w:hint="eastAsia"/>
      </w:rPr>
      <w:t>西</w:t>
    </w:r>
    <w:r>
      <w:rPr>
        <w:rFonts w:hint="eastAsia"/>
        <w:lang w:val="en-US" w:eastAsia="zh-CN"/>
      </w:rPr>
      <w:t xml:space="preserve"> </w:t>
    </w:r>
    <w:r>
      <w:rPr>
        <w:rFonts w:hint="eastAsia"/>
      </w:rPr>
      <w:t>北</w:t>
    </w:r>
    <w:r>
      <w:rPr>
        <w:rFonts w:hint="eastAsia"/>
        <w:lang w:val="en-US" w:eastAsia="zh-CN"/>
      </w:rPr>
      <w:t xml:space="preserve"> </w:t>
    </w:r>
    <w:r>
      <w:rPr>
        <w:rFonts w:hint="eastAsia"/>
      </w:rPr>
      <w:t>政</w:t>
    </w:r>
    <w:r>
      <w:rPr>
        <w:rFonts w:hint="eastAsia"/>
        <w:lang w:val="en-US" w:eastAsia="zh-CN"/>
      </w:rPr>
      <w:t xml:space="preserve"> </w:t>
    </w:r>
    <w:r>
      <w:rPr>
        <w:rFonts w:hint="eastAsia"/>
      </w:rPr>
      <w:t>法</w:t>
    </w:r>
    <w:r>
      <w:rPr>
        <w:rFonts w:hint="eastAsia"/>
        <w:lang w:val="en-US" w:eastAsia="zh-CN"/>
      </w:rPr>
      <w:t xml:space="preserve"> </w:t>
    </w:r>
    <w:r>
      <w:rPr>
        <w:rFonts w:hint="eastAsia"/>
      </w:rPr>
      <w:t>大</w:t>
    </w:r>
    <w:r>
      <w:rPr>
        <w:rFonts w:hint="eastAsia"/>
        <w:lang w:val="en-US" w:eastAsia="zh-CN"/>
      </w:rPr>
      <w:t xml:space="preserve"> </w:t>
    </w:r>
    <w:r>
      <w:rPr>
        <w:rFonts w:hint="eastAsia"/>
      </w:rPr>
      <w:t>学</w:t>
    </w:r>
    <w:r>
      <w:rPr>
        <w:rFonts w:hint="eastAsia"/>
        <w:lang w:val="en-US" w:eastAsia="zh-CN"/>
      </w:rPr>
      <w:t xml:space="preserve"> </w:t>
    </w:r>
    <w:r>
      <w:rPr>
        <w:rFonts w:hint="eastAsia"/>
      </w:rPr>
      <w:t>大</w:t>
    </w:r>
    <w:r>
      <w:rPr>
        <w:rFonts w:hint="eastAsia"/>
        <w:lang w:val="en-US" w:eastAsia="zh-CN"/>
      </w:rPr>
      <w:t xml:space="preserve"> </w:t>
    </w:r>
    <w:r>
      <w:rPr>
        <w:rFonts w:hint="eastAsia"/>
      </w:rPr>
      <w:t>创</w:t>
    </w:r>
    <w:r>
      <w:rPr>
        <w:rFonts w:hint="eastAsia"/>
        <w:lang w:val="en-US" w:eastAsia="zh-CN"/>
      </w:rPr>
      <w:t xml:space="preserve"> </w:t>
    </w:r>
    <w:r>
      <w:rPr>
        <w:rFonts w:hint="eastAsia"/>
      </w:rPr>
      <w:t>结</w:t>
    </w:r>
    <w:r>
      <w:rPr>
        <w:rFonts w:hint="eastAsia"/>
        <w:lang w:val="en-US" w:eastAsia="zh-CN"/>
      </w:rPr>
      <w:t xml:space="preserve"> </w:t>
    </w:r>
    <w:r>
      <w:rPr>
        <w:rFonts w:hint="eastAsia"/>
      </w:rPr>
      <w:t>项</w:t>
    </w:r>
    <w:r>
      <w:rPr>
        <w:rFonts w:hint="eastAsia"/>
        <w:lang w:val="en-US" w:eastAsia="zh-CN"/>
      </w:rPr>
      <w:t xml:space="preserve"> </w:t>
    </w:r>
    <w:r>
      <w:rPr>
        <w:rFonts w:hint="eastAsia"/>
      </w:rPr>
      <w:t>报</w:t>
    </w:r>
    <w:r>
      <w:rPr>
        <w:rFonts w:hint="eastAsia"/>
        <w:lang w:val="en-US" w:eastAsia="zh-CN"/>
      </w:rPr>
      <w:t xml:space="preserve"> </w:t>
    </w:r>
    <w:r>
      <w:rPr>
        <w:rFonts w:hint="eastAsia"/>
      </w:rPr>
      <w:t>告</w:t>
    </w:r>
    <w:r>
      <w:rPr>
        <w:rFonts w:hint="eastAsia"/>
        <w:lang w:val="en-US" w:eastAsia="zh-CN"/>
      </w:rPr>
      <w:t xml:space="preserve"> </w:t>
    </w:r>
    <w:r>
      <w:rPr>
        <w:rFonts w:hint="eastAsia"/>
      </w:rPr>
      <w:t>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14361D6"/>
    <w:multiLevelType w:val="singleLevel"/>
    <w:tmpl w:val="C14361D6"/>
    <w:lvl w:ilvl="0" w:tentative="0">
      <w:start w:val="1"/>
      <w:numFmt w:val="decimal"/>
      <w:lvlText w:val="[%1]"/>
      <w:lvlJc w:val="left"/>
      <w:pPr>
        <w:tabs>
          <w:tab w:val="left" w:pos="420"/>
        </w:tabs>
        <w:ind w:left="425" w:hanging="425"/>
      </w:pPr>
      <w:rPr>
        <w:rFonts w:hint="default"/>
      </w:rPr>
    </w:lvl>
  </w:abstractNum>
  <w:abstractNum w:abstractNumId="1">
    <w:nsid w:val="D334607E"/>
    <w:multiLevelType w:val="multilevel"/>
    <w:tmpl w:val="D334607E"/>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
    <w:nsid w:val="E5DB4E1D"/>
    <w:multiLevelType w:val="multilevel"/>
    <w:tmpl w:val="E5DB4E1D"/>
    <w:lvl w:ilvl="0" w:tentative="0">
      <w:start w:val="1"/>
      <w:numFmt w:val="chineseCounting"/>
      <w:pStyle w:val="2"/>
      <w:suff w:val="nothing"/>
      <w:lvlText w:val="%1、"/>
      <w:lvlJc w:val="left"/>
      <w:pPr>
        <w:tabs>
          <w:tab w:val="left" w:pos="0"/>
        </w:tabs>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3">
    <w:nsid w:val="6E22649E"/>
    <w:multiLevelType w:val="multilevel"/>
    <w:tmpl w:val="6E22649E"/>
    <w:lvl w:ilvl="0" w:tentative="0">
      <w:start w:val="1"/>
      <w:numFmt w:val="decimal"/>
      <w:lvlText w:val="%1."/>
      <w:lvlJc w:val="left"/>
      <w:pPr>
        <w:ind w:left="1002" w:hanging="440"/>
      </w:pPr>
    </w:lvl>
    <w:lvl w:ilvl="1" w:tentative="0">
      <w:start w:val="1"/>
      <w:numFmt w:val="lowerLetter"/>
      <w:lvlText w:val="%2)"/>
      <w:lvlJc w:val="left"/>
      <w:pPr>
        <w:ind w:left="1442" w:hanging="440"/>
      </w:pPr>
    </w:lvl>
    <w:lvl w:ilvl="2" w:tentative="0">
      <w:start w:val="1"/>
      <w:numFmt w:val="lowerRoman"/>
      <w:lvlText w:val="%3."/>
      <w:lvlJc w:val="right"/>
      <w:pPr>
        <w:ind w:left="1882" w:hanging="440"/>
      </w:pPr>
    </w:lvl>
    <w:lvl w:ilvl="3" w:tentative="0">
      <w:start w:val="1"/>
      <w:numFmt w:val="decimal"/>
      <w:lvlText w:val="%4."/>
      <w:lvlJc w:val="left"/>
      <w:pPr>
        <w:ind w:left="2322" w:hanging="440"/>
      </w:pPr>
    </w:lvl>
    <w:lvl w:ilvl="4" w:tentative="0">
      <w:start w:val="1"/>
      <w:numFmt w:val="lowerLetter"/>
      <w:lvlText w:val="%5)"/>
      <w:lvlJc w:val="left"/>
      <w:pPr>
        <w:ind w:left="2762" w:hanging="440"/>
      </w:pPr>
    </w:lvl>
    <w:lvl w:ilvl="5" w:tentative="0">
      <w:start w:val="1"/>
      <w:numFmt w:val="lowerRoman"/>
      <w:lvlText w:val="%6."/>
      <w:lvlJc w:val="right"/>
      <w:pPr>
        <w:ind w:left="3202" w:hanging="440"/>
      </w:pPr>
    </w:lvl>
    <w:lvl w:ilvl="6" w:tentative="0">
      <w:start w:val="1"/>
      <w:numFmt w:val="decimal"/>
      <w:lvlText w:val="%7."/>
      <w:lvlJc w:val="left"/>
      <w:pPr>
        <w:ind w:left="3642" w:hanging="440"/>
      </w:pPr>
    </w:lvl>
    <w:lvl w:ilvl="7" w:tentative="0">
      <w:start w:val="1"/>
      <w:numFmt w:val="lowerLetter"/>
      <w:lvlText w:val="%8)"/>
      <w:lvlJc w:val="left"/>
      <w:pPr>
        <w:ind w:left="4082" w:hanging="440"/>
      </w:pPr>
    </w:lvl>
    <w:lvl w:ilvl="8" w:tentative="0">
      <w:start w:val="1"/>
      <w:numFmt w:val="lowerRoman"/>
      <w:lvlText w:val="%9."/>
      <w:lvlJc w:val="right"/>
      <w:pPr>
        <w:ind w:left="4522" w:hanging="44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Y4ZjgzNmJlZmVmNTU4ZTdkNmQ5M2M1M2EwZDRiZTAifQ=="/>
  </w:docVars>
  <w:rsids>
    <w:rsidRoot w:val="00172A27"/>
    <w:rsid w:val="00172A27"/>
    <w:rsid w:val="00226D7C"/>
    <w:rsid w:val="00313F52"/>
    <w:rsid w:val="003D1DB5"/>
    <w:rsid w:val="0067432E"/>
    <w:rsid w:val="00D26222"/>
    <w:rsid w:val="039269A5"/>
    <w:rsid w:val="07BE14DE"/>
    <w:rsid w:val="0CA922E9"/>
    <w:rsid w:val="0D6955E9"/>
    <w:rsid w:val="0F2434A1"/>
    <w:rsid w:val="0FED78E8"/>
    <w:rsid w:val="103643FA"/>
    <w:rsid w:val="10732244"/>
    <w:rsid w:val="11BA54EC"/>
    <w:rsid w:val="129704F4"/>
    <w:rsid w:val="13573C9B"/>
    <w:rsid w:val="18D1764D"/>
    <w:rsid w:val="18DB31CA"/>
    <w:rsid w:val="1A0C5FE3"/>
    <w:rsid w:val="1C603F2D"/>
    <w:rsid w:val="1C9261A0"/>
    <w:rsid w:val="216F5C46"/>
    <w:rsid w:val="21F66DE2"/>
    <w:rsid w:val="22B909DD"/>
    <w:rsid w:val="258A0010"/>
    <w:rsid w:val="28176BA5"/>
    <w:rsid w:val="28280AFF"/>
    <w:rsid w:val="2B34534D"/>
    <w:rsid w:val="2F8544B5"/>
    <w:rsid w:val="30AD74B8"/>
    <w:rsid w:val="330B64B1"/>
    <w:rsid w:val="337D6567"/>
    <w:rsid w:val="339C7556"/>
    <w:rsid w:val="3854124B"/>
    <w:rsid w:val="3ACD3073"/>
    <w:rsid w:val="3BF85BA9"/>
    <w:rsid w:val="41372D2C"/>
    <w:rsid w:val="44334464"/>
    <w:rsid w:val="46DD3169"/>
    <w:rsid w:val="46EA246A"/>
    <w:rsid w:val="4B6871CE"/>
    <w:rsid w:val="4EB17B75"/>
    <w:rsid w:val="50A1183B"/>
    <w:rsid w:val="510C7721"/>
    <w:rsid w:val="520A2344"/>
    <w:rsid w:val="547D0774"/>
    <w:rsid w:val="558C3EA1"/>
    <w:rsid w:val="55EF53BF"/>
    <w:rsid w:val="59206CAE"/>
    <w:rsid w:val="5CB54B4C"/>
    <w:rsid w:val="61B93BD8"/>
    <w:rsid w:val="6222131F"/>
    <w:rsid w:val="65273C5C"/>
    <w:rsid w:val="66381947"/>
    <w:rsid w:val="67A22DB8"/>
    <w:rsid w:val="6B2E2689"/>
    <w:rsid w:val="6CE37052"/>
    <w:rsid w:val="6E286B3B"/>
    <w:rsid w:val="6FCB05E4"/>
    <w:rsid w:val="6FF53534"/>
    <w:rsid w:val="72BB1EB5"/>
    <w:rsid w:val="72BF5CE3"/>
    <w:rsid w:val="76717F03"/>
    <w:rsid w:val="7ABC7C3C"/>
    <w:rsid w:val="7ABF11F7"/>
    <w:rsid w:val="7C3840A0"/>
    <w:rsid w:val="7E192FC3"/>
    <w:rsid w:val="7FF82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val="0"/>
      <w:keepLines w:val="0"/>
      <w:numPr>
        <w:ilvl w:val="0"/>
        <w:numId w:val="1"/>
      </w:numPr>
      <w:spacing w:beforeAutospacing="0" w:afterAutospacing="0" w:line="400" w:lineRule="exact"/>
      <w:ind w:firstLine="0" w:firstLineChars="0"/>
      <w:jc w:val="left"/>
      <w:outlineLvl w:val="0"/>
    </w:pPr>
    <w:rPr>
      <w:b/>
      <w:kern w:val="44"/>
      <w:sz w:val="28"/>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400" w:lineRule="exact"/>
      <w:ind w:firstLine="0" w:firstLineChars="0"/>
      <w:outlineLvl w:val="1"/>
    </w:pPr>
    <w:rPr>
      <w:rFonts w:ascii="Arial" w:hAnsi="Arial" w:eastAsia="宋体"/>
      <w:b/>
      <w:sz w:val="24"/>
    </w:rPr>
  </w:style>
  <w:style w:type="paragraph" w:styleId="4">
    <w:name w:val="heading 3"/>
    <w:basedOn w:val="1"/>
    <w:next w:val="1"/>
    <w:unhideWhenUsed/>
    <w:qFormat/>
    <w:uiPriority w:val="0"/>
    <w:pPr>
      <w:keepNext/>
      <w:keepLines/>
      <w:numPr>
        <w:ilvl w:val="2"/>
        <w:numId w:val="1"/>
      </w:numPr>
      <w:spacing w:beforeLines="0" w:beforeAutospacing="0" w:afterLines="0" w:afterAutospacing="0" w:line="400" w:lineRule="exact"/>
      <w:ind w:firstLine="400" w:firstLineChars="0"/>
      <w:outlineLvl w:val="2"/>
    </w:pPr>
  </w:style>
  <w:style w:type="paragraph" w:styleId="5">
    <w:name w:val="heading 4"/>
    <w:basedOn w:val="1"/>
    <w:next w:val="1"/>
    <w:unhideWhenUsed/>
    <w:qFormat/>
    <w:uiPriority w:val="0"/>
    <w:pPr>
      <w:keepNext w:val="0"/>
      <w:keepLines/>
      <w:numPr>
        <w:ilvl w:val="3"/>
        <w:numId w:val="1"/>
      </w:numPr>
      <w:spacing w:beforeLines="0" w:beforeAutospacing="0" w:afterLines="0" w:afterAutospacing="0" w:line="400" w:lineRule="exact"/>
      <w:ind w:firstLine="403" w:firstLineChars="0"/>
      <w:outlineLvl w:val="3"/>
    </w:pPr>
    <w:rPr>
      <w:rFonts w:ascii="Arial" w:hAnsi="Arial"/>
    </w:rPr>
  </w:style>
  <w:style w:type="paragraph" w:styleId="6">
    <w:name w:val="heading 5"/>
    <w:basedOn w:val="1"/>
    <w:next w:val="1"/>
    <w:unhideWhenUsed/>
    <w:qFormat/>
    <w:uiPriority w:val="0"/>
    <w:pPr>
      <w:keepNext w:val="0"/>
      <w:keepLines/>
      <w:numPr>
        <w:ilvl w:val="4"/>
        <w:numId w:val="1"/>
      </w:numPr>
      <w:spacing w:beforeLines="0" w:beforeAutospacing="0" w:afterLines="0" w:afterAutospacing="0" w:line="400" w:lineRule="exact"/>
      <w:ind w:firstLine="480" w:firstLineChars="200"/>
      <w:outlineLvl w:val="4"/>
    </w:pPr>
    <w:rPr>
      <w:sz w:val="24"/>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firstLineChars="0"/>
      <w:outlineLvl w:val="8"/>
    </w:pPr>
    <w:rPr>
      <w:rFonts w:ascii="Arial" w:hAnsi="Arial" w:eastAsia="黑体"/>
      <w:sz w:val="21"/>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caption"/>
    <w:next w:val="1"/>
    <w:semiHidden/>
    <w:unhideWhenUsed/>
    <w:qFormat/>
    <w:uiPriority w:val="0"/>
    <w:pPr>
      <w:widowControl w:val="0"/>
      <w:spacing w:after="160" w:line="400" w:lineRule="exact"/>
      <w:ind w:firstLine="560" w:firstLineChars="200"/>
      <w:jc w:val="both"/>
    </w:pPr>
    <w:rPr>
      <w:rFonts w:eastAsia="黑体" w:asciiTheme="majorHAnsi" w:hAnsiTheme="majorHAnsi" w:cstheme="majorBidi"/>
      <w:kern w:val="2"/>
      <w:sz w:val="20"/>
      <w:szCs w:val="20"/>
      <w:lang w:val="en-US" w:eastAsia="zh-CN" w:bidi="ar-SA"/>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eastAsia="宋体"/>
      <w:sz w:val="24"/>
    </w:rPr>
  </w:style>
  <w:style w:type="paragraph" w:styleId="14">
    <w:name w:val="toc 1"/>
    <w:basedOn w:val="1"/>
    <w:next w:val="1"/>
    <w:qFormat/>
    <w:uiPriority w:val="0"/>
    <w:pPr>
      <w:spacing w:line="360" w:lineRule="auto"/>
    </w:pPr>
    <w:rPr>
      <w:rFonts w:eastAsia="黑体"/>
    </w:rPr>
  </w:style>
  <w:style w:type="paragraph" w:styleId="15">
    <w:name w:val="toc 2"/>
    <w:basedOn w:val="1"/>
    <w:next w:val="1"/>
    <w:uiPriority w:val="0"/>
    <w:pPr>
      <w:spacing w:line="360" w:lineRule="auto"/>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qFormat/>
    <w:uiPriority w:val="0"/>
    <w:rPr>
      <w:color w:val="0000FF"/>
      <w:u w:val="single"/>
    </w:rPr>
  </w:style>
  <w:style w:type="paragraph" w:styleId="21">
    <w:name w:val="List Paragraph"/>
    <w:unhideWhenUsed/>
    <w:uiPriority w:val="99"/>
    <w:pPr>
      <w:widowControl w:val="0"/>
      <w:spacing w:after="160" w:line="400" w:lineRule="exact"/>
      <w:ind w:firstLine="420" w:firstLineChars="200"/>
      <w:jc w:val="both"/>
    </w:pPr>
    <w:rPr>
      <w:rFonts w:eastAsia="楷体" w:asciiTheme="minorHAnsi" w:hAnsiTheme="minorHAnsi" w:cstheme="minorBidi"/>
      <w:kern w:val="2"/>
      <w:sz w:val="2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9" Type="http://schemas.openxmlformats.org/officeDocument/2006/relationships/fontTable" Target="fontTable.xml"/><Relationship Id="rId78" Type="http://schemas.openxmlformats.org/officeDocument/2006/relationships/numbering" Target="numbering.xml"/><Relationship Id="rId77" Type="http://schemas.openxmlformats.org/officeDocument/2006/relationships/customXml" Target="../customXml/item1.xml"/><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305</Words>
  <Characters>1741</Characters>
  <Lines>14</Lines>
  <Paragraphs>4</Paragraphs>
  <TotalTime>29</TotalTime>
  <ScaleCrop>false</ScaleCrop>
  <LinksUpToDate>false</LinksUpToDate>
  <CharactersWithSpaces>2042</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微信用户</cp:lastModifiedBy>
  <cp:lastPrinted>2021-05-21T11:54:00Z</cp:lastPrinted>
  <dcterms:modified xsi:type="dcterms:W3CDTF">2026-05-07T16:27:11Z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40E2369519584B2D99ED633B2D7EA595</vt:lpwstr>
  </property>
  <property fmtid="{D5CDD505-2E9C-101B-9397-08002B2CF9AE}" pid="4" name="KSOTemplateDocerSaveRecord">
    <vt:lpwstr>eyJoZGlkIjoiZmY4ZjgzNmJlZmVmNTU4ZTdkNmQ5M2M1M2EwZDRiZTAiLCJ1c2VySWQiOiIxMTIxNTY1MDAyIn0=</vt:lpwstr>
  </property>
</Properties>
</file>