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eastAsia="方正舒体"/>
        </w:rPr>
      </w:pPr>
      <w:r>
        <w:drawing>
          <wp:inline distT="0" distB="0" distL="114300" distR="114300">
            <wp:extent cx="916940" cy="243840"/>
            <wp:effectExtent l="0" t="0" r="16510" b="3810"/>
            <wp:docPr id="1" name="图片 1" descr="jumi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jumiai"/>
                    <pic:cNvPicPr>
                      <a:picLocks noChangeAspect="1"/>
                    </pic:cNvPicPr>
                  </pic:nvPicPr>
                  <pic:blipFill>
                    <a:blip r:embed="rId4"/>
                    <a:srcRect l="8536" t="217" r="9836" b="17787"/>
                    <a:stretch>
                      <a:fillRect/>
                    </a:stretch>
                  </pic:blipFill>
                  <pic:spPr>
                    <a:xfrm>
                      <a:off x="0" y="0"/>
                      <a:ext cx="91694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</w:t>
      </w:r>
    </w:p>
    <w:p>
      <w:pPr>
        <w:tabs>
          <w:tab w:val="left" w:pos="4110"/>
        </w:tabs>
        <w:rPr>
          <w:rFonts w:hint="eastAsia" w:eastAsia="方正舒体"/>
          <w:sz w:val="32"/>
        </w:rPr>
      </w:pPr>
    </w:p>
    <w:p>
      <w:pPr>
        <w:tabs>
          <w:tab w:val="left" w:pos="4110"/>
        </w:tabs>
        <w:rPr>
          <w:rFonts w:hint="eastAsia" w:ascii="仿宋_GB2312" w:eastAsia="仿宋_GB2312"/>
          <w:b/>
          <w:sz w:val="44"/>
          <w:szCs w:val="44"/>
        </w:rPr>
      </w:pPr>
      <w:r>
        <w:rPr>
          <w:rFonts w:hint="eastAsia" w:ascii="隶书" w:eastAsia="隶书"/>
          <w:sz w:val="36"/>
        </w:rPr>
        <w:t xml:space="preserve">                 </w:t>
      </w:r>
      <w:r>
        <w:rPr>
          <w:rFonts w:hint="eastAsia" w:ascii="仿宋_GB2312" w:eastAsia="仿宋_GB2312"/>
          <w:b/>
          <w:sz w:val="44"/>
          <w:szCs w:val="44"/>
        </w:rPr>
        <w:t xml:space="preserve"> PCB</w:t>
      </w:r>
      <w:r>
        <w:rPr>
          <w:rFonts w:hint="eastAsia" w:ascii="仿宋_GB2312" w:eastAsia="仿宋_GB2312"/>
          <w:b/>
          <w:sz w:val="44"/>
          <w:szCs w:val="44"/>
          <w:lang w:val="en-US" w:eastAsia="zh-CN"/>
        </w:rPr>
        <w:t>A</w:t>
      </w:r>
      <w:r>
        <w:rPr>
          <w:rFonts w:hint="eastAsia" w:ascii="仿宋_GB2312" w:eastAsia="仿宋_GB2312"/>
          <w:b/>
          <w:sz w:val="44"/>
          <w:szCs w:val="44"/>
        </w:rPr>
        <w:t>加工要求</w:t>
      </w:r>
      <w:bookmarkStart w:id="0" w:name="_GoBack"/>
      <w:bookmarkEnd w:id="0"/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PCBA焊接工艺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对于贴片器件的焊接，需采用自动SMT工艺，包括：自动锡膏印刷、SMT自动贴片、回流焊。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包装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PCBA板采用真空包装，防止焊盘氧化。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ESD管控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板卡生产过程应采用防静电管控措施。防止静电对电路板及电子元器件寿命造成影响。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三防漆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PCBA板需双面喷涂三防漆，可参照标准IPC-A-610F CLASS III要求执行，建议使用自动化喷涂。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部分关键器件需要保护避免沾上三防漆的，已经在BOM表中备注提及，一定要注意！。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控制焊脚高度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插件类器件应尽量控制焊脚高度小于等于2mm。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PCBA焊接过程要有AOI自动光学检测，对于焊接缺陷要及时处理，避免流入下一加工环节。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PCBA飞针测试或在线针床测试。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供应商需提供PCBA相应的质量检测记录或报告。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652457"/>
    <w:multiLevelType w:val="multilevel"/>
    <w:tmpl w:val="DA652457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A1MjI2MDcyNmIyYjlhODA5ZTFhYzZiYmI0M2QwNWIifQ=="/>
  </w:docVars>
  <w:rsids>
    <w:rsidRoot w:val="00000000"/>
    <w:rsid w:val="08F27A71"/>
    <w:rsid w:val="0E5574A1"/>
    <w:rsid w:val="18FB4DA0"/>
    <w:rsid w:val="48B545A9"/>
    <w:rsid w:val="48F96074"/>
    <w:rsid w:val="61D92C5E"/>
    <w:rsid w:val="739C2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279</Words>
  <Characters>327</Characters>
  <Lines>0</Lines>
  <Paragraphs>0</Paragraphs>
  <TotalTime>17</TotalTime>
  <ScaleCrop>false</ScaleCrop>
  <LinksUpToDate>false</LinksUpToDate>
  <CharactersWithSpaces>361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2022-06-23T02:54:00Z</dcterms:created>
  <dc:creator>Administrator.USER-20190521WR</dc:creator>
  <cp:lastModifiedBy>Administrator</cp:lastModifiedBy>
  <dcterms:modified xsi:type="dcterms:W3CDTF">2022-06-23T13:16:34Z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35AF11A8A631415BB341FB0C962CBEC5</vt:lpwstr>
  </property>
</Properties>
</file>