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</w:t>
      </w:r>
      <w:r>
        <w:rPr>
          <w:rFonts w:hint="eastAsia" w:ascii="仿宋_GB2312" w:eastAsia="仿宋_GB2312"/>
          <w:b/>
          <w:sz w:val="44"/>
          <w:szCs w:val="44"/>
          <w:lang w:val="en-US" w:eastAsia="zh-CN"/>
        </w:rPr>
        <w:t>A</w:t>
      </w:r>
      <w:r>
        <w:rPr>
          <w:rFonts w:hint="eastAsia" w:ascii="仿宋_GB2312" w:eastAsia="仿宋_GB2312"/>
          <w:b/>
          <w:sz w:val="44"/>
          <w:szCs w:val="44"/>
        </w:rPr>
        <w:t>加工要求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PCBA焊接工艺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对于贴片器件的焊接，需采用自动SMT工艺，包括：自动锡膏印刷、SMT自动贴片、回流焊。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包装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PCBA板采用真空包装，防止焊盘氧化。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ESD管控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板卡生产过程应采用防静电管控措施。防止静电对电路板及电子元器件寿命造成影响。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三防漆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PCBA板需双面喷涂三防漆，可参照标准IPC-A-610F CLASS III要求执行，建议使用自动化喷涂。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部分关键器件需要保护避免沾上三防漆的，已经在BOM表中备注提及，一定要注意！。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控制焊脚高度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插件类器件应尽量控制焊脚高度小于等于2mm。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PCBA焊接过程要有AOI自动光学检测，对于焊接缺陷要及时处理，避免流入下一加工环节。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PCBA飞针测试或在线针床测试。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供应商需提供PCBA相应的生产过程质量检测记录或报告。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652457"/>
    <w:multiLevelType w:val="multilevel"/>
    <w:tmpl w:val="DA652457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8F27A71"/>
    <w:rsid w:val="0E5574A1"/>
    <w:rsid w:val="17756E79"/>
    <w:rsid w:val="18FB4DA0"/>
    <w:rsid w:val="48B545A9"/>
    <w:rsid w:val="48F96074"/>
    <w:rsid w:val="61D92C5E"/>
    <w:rsid w:val="739C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327</Characters>
  <Lines>0</Lines>
  <Paragraphs>0</Paragraphs>
  <TotalTime>17</TotalTime>
  <ScaleCrop>false</ScaleCrop>
  <LinksUpToDate>false</LinksUpToDate>
  <CharactersWithSpaces>360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2022-06-23T02:54:00Z</dcterms:created>
  <dc:creator>Administrator.USER-20190521WR</dc:creator>
  <cp:lastModifiedBy>Administrator</cp:lastModifiedBy>
  <dcterms:modified xsi:type="dcterms:W3CDTF">2022-07-18T03:29:44Z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35AF11A8A631415BB341FB0C962CBEC5</vt:lpwstr>
  </property>
</Properties>
</file>