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93.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24" w:name="山西省药品零售经营监督管理办法试行及全国类似政策全面深度调研报告"/>
    <w:p>
      <w:pPr>
        <w:pStyle w:val="Heading1"/>
      </w:pPr>
      <w:r>
        <w:t xml:space="preserve">山西省药品零售经营监督管理办法（试行）及全国类似政策全面深度调研报告</w:t>
      </w:r>
    </w:p>
    <w:bookmarkStart w:id="23" w:name="执行摘要"/>
    <w:p>
      <w:pPr>
        <w:pStyle w:val="Heading2"/>
      </w:pPr>
      <w:r>
        <w:t xml:space="preserve">执行摘要</w:t>
      </w:r>
    </w:p>
    <w:bookmarkStart w:id="20" w:name="研究背景与目标"/>
    <w:p>
      <w:pPr>
        <w:pStyle w:val="Heading3"/>
      </w:pPr>
      <w:r>
        <w:t xml:space="preserve">研究背景与目标</w:t>
      </w:r>
    </w:p>
    <w:p>
      <w:pPr>
        <w:pStyle w:val="FirstParagraph"/>
      </w:pPr>
      <w:r>
        <w:t xml:space="preserve">山西省药品监督管理局、山西省行政审批服务管理局于2026年2月12日联合印发《药品零售经营监督管理办法（试行）》（晋药监规〔2026〕7号），自2026年5月1日起施行，有效期至2028年4月30日。该政策在药品零售渠道创新、药食同源中药饮片销售、连锁经营门槛、远程药学服务、药品网络销售五大领域推出多项突破性举措，旨在破解山西省药品零售行业”小而散”的结构性困境（连锁率44.68%，远低于全国57.81%和商务部70%目标），同时鼓励新业态新模式，激发市场活力，保障群众用药安全。</w:t>
      </w:r>
    </w:p>
    <w:p>
      <w:pPr>
        <w:pStyle w:val="BodyText"/>
      </w:pPr>
      <w:r>
        <w:t xml:space="preserve">本报告以山西省政策为核心研究对象，系统调研其在售药渠道创新（药品销售专柜、自助售药机、智慧药房）、药食同源销售放宽、连锁经营门槛设定、远程药学服务规范、网络销售实体依托等五大维度的具体规定，并与全国各省（甘肃、重庆、陕西、北京、山东、江西、湖北、云南、福建、海南等）的类似政策进行深度横向对比，揭示政策差异背后的监管逻辑、法律风险与行业影响。</w:t>
      </w:r>
    </w:p>
    <w:bookmarkEnd w:id="20"/>
    <w:bookmarkStart w:id="21" w:name="核心发现"/>
    <w:p>
      <w:pPr>
        <w:pStyle w:val="Heading3"/>
      </w:pPr>
      <w:r>
        <w:t xml:space="preserve">核心发现</w:t>
      </w:r>
    </w:p>
    <w:p>
      <w:pPr>
        <w:pStyle w:val="FirstParagraph"/>
      </w:pPr>
      <w:r>
        <w:rPr>
          <w:b/>
          <w:bCs/>
        </w:rPr>
        <w:t xml:space="preserve">第一，山西省政策在五大领域呈现”有放有收”的精准调控特征。</w:t>
      </w:r>
      <w:r>
        <w:t xml:space="preserve"> </w:t>
      </w:r>
      <w:r>
        <w:t xml:space="preserve">在”放”的方面，允许在机场、车站、商场、社区等人口聚集场所设置智慧药房（柜）销售处方药，不凭处方开架销售药食同源单味定型包装中药饮片，仅经营乙类OTC实行告知承诺制，连锁总部可跨省设置配送中心。在”收”的方面，新开办连锁门槛提高至10家并持续保持，远程审方不得取代驻店药师且不得AI自动审方，网络销售必须依托实体门店且发货地址与许可证一致。这套政策组合拳实质是推动药品零售行业的”供给侧改革”——淘汰低效单体店，鼓励规模化、数字化、合规化经营。</w:t>
      </w:r>
    </w:p>
    <w:p>
      <w:pPr>
        <w:pStyle w:val="BodyText"/>
      </w:pPr>
      <w:r>
        <w:rPr>
          <w:b/>
          <w:bCs/>
        </w:rPr>
        <w:t xml:space="preserve">第二，全国政策在售药渠道创新领域呈现”三档分化”格局。</w:t>
      </w:r>
      <w:r>
        <w:t xml:space="preserve"> </w:t>
      </w:r>
      <w:r>
        <w:t xml:space="preserve">严格保守型（北京、陕西、广西、甘肃、江西等）严格执行国家药监局48号公告，自助售药机仅售乙类OTC；适度放开型（重庆）允许自动售药机销售甲类OTC；积极探索型（山西、山东烟台、湖南永州、湖北、上海浦东等）通过智慧药房或远程药柜探索处方药自动销售。其中，山西”智慧药房（柜）可售处方药”引发最大合规争议——山西通过将”智慧药房”与”自助售药机”进行概念区分（前者具备互联网诊疗+远程审方+专人管理），在48号公告的字面框架下找到了合规空间，但存在被后续上位法统一调整的风险。</w:t>
      </w:r>
    </w:p>
    <w:p>
      <w:pPr>
        <w:pStyle w:val="BodyText"/>
      </w:pPr>
      <w:r>
        <w:rPr>
          <w:b/>
          <w:bCs/>
        </w:rPr>
        <w:t xml:space="preserve">第三，药食同源销售放宽已进入”制度化”阶段，监管逻辑从”品种管理”向”用途管理”转型。</w:t>
      </w:r>
      <w:r>
        <w:t xml:space="preserve"> </w:t>
      </w:r>
      <w:r>
        <w:t xml:space="preserve">山东（2019）、江西（2025）、山西（2026）等省均以省级规章形式固化药食同源不凭处方销售政策，但”非临床配方使用”缺乏明确界定标准，标签管理（是否标明功能主治）是执法最大模糊地带。这一放宽可能释放超250亿元中药零售市场潜能，但也存在规避处方管理的”后门”风险。</w:t>
      </w:r>
    </w:p>
    <w:p>
      <w:pPr>
        <w:pStyle w:val="BodyText"/>
      </w:pPr>
      <w:r>
        <w:rPr>
          <w:b/>
          <w:bCs/>
        </w:rPr>
        <w:t xml:space="preserve">第四，连锁经营门槛与统一管理制度正在加速行业整合。</w:t>
      </w:r>
      <w:r>
        <w:t xml:space="preserve"> </w:t>
      </w:r>
      <w:r>
        <w:t xml:space="preserve">全国形成四大梯队：10家高门槛（山西、山东、北京、上海、广东等）、5-8家中门槛（河北6家、江西5家）、3-4家低门槛（广西3家，全国最低）、特殊模式（海南批零一体化、北京取消持股比例限制）。七统一管理（国家84号令强制）在云南、青海扩展为八统一（增加财务管理、服务承诺）。山西允许跨省设置配送中心，结合海南批零一体化，正在打破区域市场壁垒，加速全国性连锁巨头形成。</w:t>
      </w:r>
    </w:p>
    <w:p>
      <w:pPr>
        <w:pStyle w:val="BodyText"/>
      </w:pPr>
      <w:r>
        <w:rPr>
          <w:b/>
          <w:bCs/>
        </w:rPr>
        <w:t xml:space="preserve">第五，远程审方政策与执业药师缺口形成结构性张力。</w:t>
      </w:r>
      <w:r>
        <w:t xml:space="preserve"> </w:t>
      </w:r>
      <w:r>
        <w:t xml:space="preserve">全国执业药师缺口约60万人，地域分布极不均衡（上海8.1人/万人口 vs 贵州1.9人/万人口）。远程审方（总部共享）、药食同源免药师、AI辅助（非替代）等政策的组合，实质是推动执业药师配置从”数量刚性”向”结构弹性”转型。但”远程审方不得取代驻店药师”的刚性要求，在偏远地区面临执行困境——严格执行可能导致乡镇药店关闭，与”提高药品可及性”的政策目标相悖。</w:t>
      </w:r>
    </w:p>
    <w:p>
      <w:pPr>
        <w:pStyle w:val="BodyText"/>
      </w:pPr>
      <w:r>
        <w:rPr>
          <w:b/>
          <w:bCs/>
        </w:rPr>
        <w:t xml:space="preserve">第六，</w:t>
      </w:r>
      <w:r>
        <w:rPr>
          <w:b/>
          <w:bCs/>
        </w:rPr>
        <w:t xml:space="preserve">“</w:t>
      </w:r>
      <w:r>
        <w:rPr>
          <w:b/>
          <w:bCs/>
        </w:rPr>
        <w:t xml:space="preserve">无实体门店不得网售</w:t>
      </w:r>
      <w:r>
        <w:rPr>
          <w:b/>
          <w:bCs/>
        </w:rPr>
        <w:t xml:space="preserve">”</w:t>
      </w:r>
      <w:r>
        <w:rPr>
          <w:b/>
          <w:bCs/>
        </w:rPr>
        <w:t xml:space="preserve">正在成为全国性共识，纯线上药品零售模式被制度性终结。</w:t>
      </w:r>
      <w:r>
        <w:t xml:space="preserve"> </w:t>
      </w:r>
      <w:r>
        <w:t xml:space="preserve">山西、湖北、山东、辽宁等省已明确此原则，2026年5月《处方药网络零售合规指南》进一步升级监管（禁止AI审方、处方审核前不得展示药品说明书、严格实名制）。双罚制（企业罚款+个人十年禁业+刑事移送）成为执法标配。实体药店从单纯的销售终端上升为线上业务的”准入牌照”，头部连锁（拥有大量实体门店）在O2O竞争中获得结构性优势。</w:t>
      </w:r>
    </w:p>
    <w:p>
      <w:pPr>
        <w:pStyle w:val="BodyText"/>
      </w:pPr>
      <w:r>
        <w:rPr>
          <w:b/>
          <w:bCs/>
        </w:rPr>
        <w:t xml:space="preserve">第七，智慧药房的技术标准与医保对接是其商业可行性的关键瓶颈。</w:t>
      </w:r>
      <w:r>
        <w:t xml:space="preserve"> </w:t>
      </w:r>
      <w:r>
        <w:t xml:space="preserve">浙江、安徽、长三角有地方标准（DB31/32/33/34），但全国统一标准缺失。湖南永州、上海浦东已有医保试点，但全国范围内尚未形成统一的医保结算接口。在医保尚未打通的地区，智慧药房只能销售非医保药品或自费药品，商业价值大打折扣。处方外流（2028年预计超7000亿元规模）的承接能力，取决于智慧药房与电子处方流转平台、医保结算系统的完整闭环。</w:t>
      </w:r>
    </w:p>
    <w:bookmarkEnd w:id="21"/>
    <w:bookmarkStart w:id="22" w:name="政策建议"/>
    <w:p>
      <w:pPr>
        <w:pStyle w:val="Heading3"/>
      </w:pPr>
      <w:r>
        <w:t xml:space="preserve">政策建议</w:t>
      </w:r>
    </w:p>
    <w:p>
      <w:pPr>
        <w:pStyle w:val="FirstParagraph"/>
      </w:pPr>
      <w:r>
        <w:rPr>
          <w:b/>
          <w:bCs/>
        </w:rPr>
        <w:t xml:space="preserve">国家层面</w:t>
      </w:r>
      <w:r>
        <w:t xml:space="preserve">：尽快出台”智慧药房”国家标准和分类规范，弥合地方政策差异；推动电子处方流转与医保结算全国统一接口；加快《药师法》立法，明确执业药师集团注册与多点执业的法律地位。</w:t>
      </w:r>
    </w:p>
    <w:p>
      <w:pPr>
        <w:pStyle w:val="BodyText"/>
      </w:pPr>
      <w:r>
        <w:rPr>
          <w:b/>
          <w:bCs/>
        </w:rPr>
        <w:t xml:space="preserve">省级层面</w:t>
      </w:r>
      <w:r>
        <w:t xml:space="preserve">：在提高连锁门槛的同时，建立单体药店转型支持机制（加盟便利化、乙类OTC专营许可、药食同源差异化经营），避免农村地区药品可及性下降；出台药食同源”非临床配方使用”界定标准或负面清单。</w:t>
      </w:r>
    </w:p>
    <w:p>
      <w:pPr>
        <w:pStyle w:val="BodyText"/>
      </w:pPr>
      <w:r>
        <w:rPr>
          <w:b/>
          <w:bCs/>
        </w:rPr>
        <w:t xml:space="preserve">企业层面</w:t>
      </w:r>
      <w:r>
        <w:t xml:space="preserve">：严守购进渠道、处方药审核、网络报告三大红线；将远程审方、智慧药房、追溯码系统纳入战略投资优先级；关注医保结算接入进展，优先在已接入医保的地区布局智慧药房；加快数字化升级和连锁化布局，通过并购整合抢占区域市场份额。</w:t>
      </w:r>
    </w:p>
    <w:p>
      <w:r>
        <w:pict>
          <v:rect style="width:0;height:1.5pt" o:hralign="center" o:hrstd="t" o:hr="t"/>
        </w:pict>
      </w:r>
    </w:p>
    <w:p>
      <w:r>
        <w:pict>
          <v:rect style="width:0;height:1.5pt" o:hralign="center" o:hrstd="t" o:hr="t"/>
        </w:pict>
      </w:r>
    </w:p>
    <w:bookmarkEnd w:id="22"/>
    <w:bookmarkEnd w:id="23"/>
    <w:bookmarkEnd w:id="24"/>
    <w:bookmarkStart w:id="63" w:name="政策背景与制度框架"/>
    <w:p>
      <w:pPr>
        <w:pStyle w:val="Heading1"/>
      </w:pPr>
      <w:r>
        <w:t xml:space="preserve">1. 政策背景与制度框架</w:t>
      </w:r>
    </w:p>
    <w:bookmarkStart w:id="27" w:name="国家药品零售监管法规体系"/>
    <w:p>
      <w:pPr>
        <w:pStyle w:val="Heading2"/>
      </w:pPr>
      <w:r>
        <w:t xml:space="preserve">1.1 国家药品零售监管法规体系</w:t>
      </w:r>
    </w:p>
    <w:bookmarkStart w:id="25" w:name="五层级法规体系从法律到地方立法"/>
    <w:p>
      <w:pPr>
        <w:pStyle w:val="Heading3"/>
      </w:pPr>
      <w:r>
        <w:t xml:space="preserve">1.1.1 五层级法规体系：从法律到地方立法</w:t>
      </w:r>
    </w:p>
    <w:p>
      <w:pPr>
        <w:pStyle w:val="FirstParagraph"/>
      </w:pPr>
      <w:r>
        <w:t xml:space="preserve">中国药品零售监管法规体系呈现典型的金字塔结构，由五个层级构成，效力自上而下递减，规范密度逐级递增。第一层为法律，以2019年修订的《中华人民共和国药品管理法》为统领，确立药品经营的基本制度框架与底线要求；第二层为行政法规，2026年1月16日公布的《药品管理法实施条例》（国务院令第828号）于2026年5月15日起施行，将法律原则转化为可操作的行政规则；第三层为部门规章，以国家市场监督管理总局令第84号《药品经营和使用质量监督管理办法》为核心，细化许可程序、质量管理、网络销售等具体制度；第四层为规范性文件，包括国家药监局2024年第48号公告以及2026年5月25日发布的《处方药网络零售合规指南》（药监综药管函〔2026〕282号），承担技术标准与政策指引功能；第五层为地方立法，即各省药监局及行政审批部门结合本地实际制定的许可细则与监督管理规范性文件。</w:t>
      </w:r>
      <w:r>
        <w:rPr>
          <w:vertAlign w:val="superscript"/>
        </w:rPr>
        <w:footnoteReference w:id="12345"/>
      </w:r>
    </w:p>
    <w:p>
      <w:pPr>
        <w:pStyle w:val="BodyText"/>
      </w:pPr>
      <w:r>
        <w:t xml:space="preserve">上述五层级并非简单的线性叠加，而是存在复杂的授权与限制关系。法律与行政法规设定刚性底线，部门规章与规范性文件在底线之上划定操作空间，地方立法则在授权范围内进行差异化创新。理解这一层级关系，是评估山西省新规合法性与创新边界的前提。</w:t>
      </w:r>
    </w:p>
    <w:p>
      <w:pPr>
        <w:pStyle w:val="BodyText"/>
      </w:pPr>
      <w:r>
        <w:rPr>
          <w:b/>
          <w:bCs/>
        </w:rPr>
        <w:t xml:space="preserve">表1 国家药品零售监管法规五层级体系架构</w:t>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层级</w:t>
            </w:r>
          </w:p>
        </w:tc>
        <w:tc>
          <w:tcPr/>
          <w:p>
            <w:pPr>
              <w:pStyle w:val="Compact"/>
              <w:jc w:val="left"/>
            </w:pPr>
            <w:r>
              <w:t xml:space="preserve">核心文件</w:t>
            </w:r>
          </w:p>
        </w:tc>
        <w:tc>
          <w:tcPr/>
          <w:p>
            <w:pPr>
              <w:pStyle w:val="Compact"/>
              <w:jc w:val="left"/>
            </w:pPr>
            <w:r>
              <w:t xml:space="preserve">关键条款</w:t>
            </w:r>
          </w:p>
        </w:tc>
        <w:tc>
          <w:tcPr/>
          <w:p>
            <w:pPr>
              <w:pStyle w:val="Compact"/>
              <w:jc w:val="left"/>
            </w:pPr>
            <w:r>
              <w:t xml:space="preserve">对地方创新的授权空间</w:t>
            </w:r>
          </w:p>
        </w:tc>
        <w:tc>
          <w:tcPr/>
          <w:p>
            <w:pPr>
              <w:pStyle w:val="Compact"/>
              <w:jc w:val="left"/>
            </w:pPr>
            <w:r>
              <w:t xml:space="preserve">对地方创新的限制边界</w:t>
            </w:r>
          </w:p>
        </w:tc>
      </w:tr>
      <w:tr>
        <w:tc>
          <w:tcPr/>
          <w:p>
            <w:pPr>
              <w:pStyle w:val="Compact"/>
              <w:jc w:val="left"/>
            </w:pPr>
            <w:r>
              <w:t xml:space="preserve">法律</w:t>
            </w:r>
          </w:p>
        </w:tc>
        <w:tc>
          <w:tcPr/>
          <w:p>
            <w:pPr>
              <w:pStyle w:val="Compact"/>
              <w:jc w:val="left"/>
            </w:pPr>
            <w:r>
              <w:t xml:space="preserve">《药品管理法》（2019年修订）</w:t>
            </w:r>
          </w:p>
        </w:tc>
        <w:tc>
          <w:tcPr/>
          <w:p>
            <w:pPr>
              <w:pStyle w:val="Compact"/>
              <w:jc w:val="left"/>
            </w:pPr>
            <w:r>
              <w:t xml:space="preserve">第52条（经营条件）、第53条（GSP与鼓励连锁）、第54条（处方药/OTC分类管理）</w:t>
            </w:r>
          </w:p>
        </w:tc>
        <w:tc>
          <w:tcPr/>
          <w:p>
            <w:pPr>
              <w:pStyle w:val="Compact"/>
              <w:jc w:val="left"/>
            </w:pPr>
            <w:r>
              <w:t xml:space="preserve">“</w:t>
            </w:r>
            <w:r>
              <w:t xml:space="preserve">相适应</w:t>
            </w:r>
            <w:r>
              <w:t xml:space="preserve">”</w:t>
            </w:r>
            <w:r>
              <w:t xml:space="preserve">等弹性表述允许地方结合实际细化面积、设备标准；第53条”鼓励连锁”为地方设定连锁门槛提供政策导向</w:t>
            </w:r>
          </w:p>
        </w:tc>
        <w:tc>
          <w:tcPr/>
          <w:p>
            <w:pPr>
              <w:pStyle w:val="Compact"/>
              <w:jc w:val="left"/>
            </w:pPr>
            <w:r>
              <w:t xml:space="preserve">药师配备为强制性要求，地方不得取消；经营场所、设备、仓储设施为刚性条件，地方不得降低标准；处方药/OTC分类属性由国务院药监部门制定，地方无权变更</w:t>
            </w:r>
          </w:p>
        </w:tc>
      </w:tr>
      <w:tr>
        <w:tc>
          <w:tcPr/>
          <w:p>
            <w:pPr>
              <w:pStyle w:val="Compact"/>
              <w:jc w:val="left"/>
            </w:pPr>
            <w:r>
              <w:t xml:space="preserve">行政法规</w:t>
            </w:r>
          </w:p>
        </w:tc>
        <w:tc>
          <w:tcPr/>
          <w:p>
            <w:pPr>
              <w:pStyle w:val="Compact"/>
              <w:jc w:val="left"/>
            </w:pPr>
            <w:r>
              <w:t xml:space="preserve">《药品管理法实施条例》（国务院令第828号，2026.5.15施行）</w:t>
            </w:r>
          </w:p>
        </w:tc>
        <w:tc>
          <w:tcPr/>
          <w:p>
            <w:pPr>
              <w:pStyle w:val="Compact"/>
              <w:jc w:val="left"/>
            </w:pPr>
            <w:r>
              <w:t xml:space="preserve">第42条（许可程序，20个工作日）、第43条（乙类OTC配备弹性；处方药凭处方销售）、第52条（鼓励信息化处方传递）</w:t>
            </w:r>
          </w:p>
        </w:tc>
        <w:tc>
          <w:tcPr/>
          <w:p>
            <w:pPr>
              <w:pStyle w:val="Compact"/>
              <w:jc w:val="left"/>
            </w:pPr>
            <w:r>
              <w:t xml:space="preserve">许可程序授权地方探索告知承诺制、电子审批；乙类OTC配备标准可由国家药监部门规定后地方细化；信息化处方传递为电子处方流转提供依据</w:t>
            </w:r>
          </w:p>
        </w:tc>
        <w:tc>
          <w:tcPr/>
          <w:p>
            <w:pPr>
              <w:pStyle w:val="Compact"/>
              <w:jc w:val="left"/>
            </w:pPr>
            <w:r>
              <w:t xml:space="preserve">20个工作日为法定上限，地方可缩短但不得延长；处方药凭处方销售为刚性要求，不得突破</w:t>
            </w:r>
          </w:p>
        </w:tc>
      </w:tr>
      <w:tr>
        <w:tc>
          <w:tcPr/>
          <w:p>
            <w:pPr>
              <w:pStyle w:val="Compact"/>
              <w:jc w:val="left"/>
            </w:pPr>
            <w:r>
              <w:t xml:space="preserve">部门规章</w:t>
            </w:r>
          </w:p>
        </w:tc>
        <w:tc>
          <w:tcPr/>
          <w:p>
            <w:pPr>
              <w:pStyle w:val="Compact"/>
              <w:jc w:val="left"/>
            </w:pPr>
            <w:r>
              <w:t xml:space="preserve">《药品经营和使用质量监督管理办法》（84号令）</w:t>
            </w:r>
          </w:p>
        </w:tc>
        <w:tc>
          <w:tcPr/>
          <w:p>
            <w:pPr>
              <w:pStyle w:val="Compact"/>
              <w:jc w:val="left"/>
            </w:pPr>
            <w:r>
              <w:t xml:space="preserve">第7条（省级药监制定检查细则）、第43条（</w:t>
            </w:r>
            <w:r>
              <w:t xml:space="preserve">“</w:t>
            </w:r>
            <w:r>
              <w:t xml:space="preserve">七统一</w:t>
            </w:r>
            <w:r>
              <w:t xml:space="preserve">”</w:t>
            </w:r>
            <w:r>
              <w:t xml:space="preserve">管理）、第48条（跨省设仓库）</w:t>
            </w:r>
          </w:p>
        </w:tc>
        <w:tc>
          <w:tcPr/>
          <w:p>
            <w:pPr>
              <w:pStyle w:val="Compact"/>
              <w:jc w:val="left"/>
            </w:pPr>
            <w:r>
              <w:t xml:space="preserve">省级药监可制定检查细则；连锁总部跨省设仓库程序为山西”跨省配送中心”提供参照</w:t>
            </w:r>
          </w:p>
        </w:tc>
        <w:tc>
          <w:tcPr/>
          <w:p>
            <w:pPr>
              <w:pStyle w:val="Compact"/>
              <w:jc w:val="left"/>
            </w:pPr>
            <w:r>
              <w:t xml:space="preserve">跨省设仓库需取得仓库所在地省级药监部门同意；GSP检查细则不得降低国家指导原则标准</w:t>
            </w:r>
          </w:p>
        </w:tc>
      </w:tr>
      <w:tr>
        <w:tc>
          <w:tcPr/>
          <w:p>
            <w:pPr>
              <w:pStyle w:val="Compact"/>
              <w:jc w:val="left"/>
            </w:pPr>
            <w:r>
              <w:t xml:space="preserve">规范性文件</w:t>
            </w:r>
          </w:p>
        </w:tc>
        <w:tc>
          <w:tcPr/>
          <w:p>
            <w:pPr>
              <w:pStyle w:val="Compact"/>
              <w:jc w:val="left"/>
            </w:pPr>
            <w:r>
              <w:t xml:space="preserve">48号公告（2024年）</w:t>
            </w:r>
          </w:p>
        </w:tc>
        <w:tc>
          <w:tcPr/>
          <w:p>
            <w:pPr>
              <w:pStyle w:val="Compact"/>
              <w:jc w:val="left"/>
            </w:pPr>
            <w:r>
              <w:t xml:space="preserve">第7条（自助售药机仅售乙类OTC）、第9条（连锁总部跨省设仓库参照批发企业）、第12条（地方可制定配套文件）</w:t>
            </w:r>
          </w:p>
        </w:tc>
        <w:tc>
          <w:tcPr/>
          <w:p>
            <w:pPr>
              <w:pStyle w:val="Compact"/>
              <w:jc w:val="left"/>
            </w:pPr>
            <w:r>
              <w:t xml:space="preserve">第12条直接授权地方”结合实际制定配套文件”，是山西新规最核心的合法性依据之一</w:t>
            </w:r>
          </w:p>
        </w:tc>
        <w:tc>
          <w:tcPr/>
          <w:p>
            <w:pPr>
              <w:pStyle w:val="Compact"/>
              <w:jc w:val="left"/>
            </w:pPr>
            <w:r>
              <w:t xml:space="preserve">第7条明确自助售药机不得销售甲类OTC和处方药，地方不得突破</w:t>
            </w:r>
          </w:p>
        </w:tc>
      </w:tr>
      <w:tr>
        <w:tc>
          <w:tcPr/>
          <w:p>
            <w:pPr>
              <w:pStyle w:val="Compact"/>
              <w:jc w:val="left"/>
            </w:pPr>
            <w:r>
              <w:t xml:space="preserve">规范性文件</w:t>
            </w:r>
          </w:p>
        </w:tc>
        <w:tc>
          <w:tcPr/>
          <w:p>
            <w:pPr>
              <w:pStyle w:val="Compact"/>
              <w:jc w:val="left"/>
            </w:pPr>
            <w:r>
              <w:t xml:space="preserve">《处方药网络零售合规指南》（2026年）</w:t>
            </w:r>
          </w:p>
        </w:tc>
        <w:tc>
          <w:tcPr/>
          <w:p>
            <w:pPr>
              <w:pStyle w:val="Compact"/>
              <w:jc w:val="left"/>
            </w:pPr>
            <w:r>
              <w:t xml:space="preserve">处方审核由执业药师开展，不得由AI代为实施；日均审方量建议控制在300张以内</w:t>
            </w:r>
          </w:p>
        </w:tc>
        <w:tc>
          <w:tcPr/>
          <w:p>
            <w:pPr>
              <w:pStyle w:val="Compact"/>
              <w:jc w:val="left"/>
            </w:pPr>
            <w:r>
              <w:t xml:space="preserve">为地方智慧药房、远程审方提供全国统一标准参照；地方可在不低于该标准前提下细化</w:t>
            </w:r>
          </w:p>
        </w:tc>
        <w:tc>
          <w:tcPr/>
          <w:p>
            <w:pPr>
              <w:pStyle w:val="Compact"/>
              <w:jc w:val="left"/>
            </w:pPr>
            <w:r>
              <w:t xml:space="preserve">处方审核人为责任为底线，地方不得允许AI自动审方或降低审方人员资质要求</w:t>
            </w:r>
          </w:p>
        </w:tc>
      </w:tr>
    </w:tbl>
    <w:p>
      <w:pPr>
        <w:pStyle w:val="BodyText"/>
      </w:pPr>
      <w:r>
        <w:t xml:space="preserve">该体系的核心逻辑在于：药品安全属于中央事权中的监管标准制定权，但具体许可程序、检查细则、业态创新试点等执行性事务存在明确的省级授权空间。48号公告第12条明确”各级药品监督管理部门依据《办法》和本公告要求，可以结合工作实际制定配套文件”，这一条款实质上为山西省制定药品零售经营监督管理办法提供了直接的规范性文件依据。</w:t>
      </w:r>
      <w:r>
        <w:rPr>
          <w:vertAlign w:val="superscript"/>
        </w:rPr>
        <w:footnoteReference w:id="4"/>
      </w:r>
    </w:p>
    <w:bookmarkEnd w:id="25"/>
    <w:bookmarkStart w:id="26" w:name="核心上位法对地方创新的授权空间与限制边界"/>
    <w:p>
      <w:pPr>
        <w:pStyle w:val="Heading3"/>
      </w:pPr>
      <w:r>
        <w:t xml:space="preserve">1.1.2 核心上位法对地方创新的授权空间与限制边界</w:t>
      </w:r>
    </w:p>
    <w:p>
      <w:pPr>
        <w:pStyle w:val="FirstParagraph"/>
      </w:pPr>
      <w:r>
        <w:t xml:space="preserve">《药品管理法》第52条要求药品经营企业配备”依法经过资格认定的药师或者其他药学技术人员”，并具备”与所经营药品相适应的营业场所、设备、仓储设施”。其中”相适应”为标准弹性表述，省级监管部门可据此设定差异化的面积门槛——山西省办法将单体药店面积定为70平方米、连锁门店40平方米、仅经营乙类OTC 20平方米，正是对这一弹性空间的合理利用。然而，该条款同时明确GSP由”国务院药品监督管理部门制定”，地方仅能在执行层面制定检查细则，无权变更GSP核心标准。</w:t>
      </w:r>
      <w:r>
        <w:rPr>
          <w:vertAlign w:val="superscript"/>
        </w:rPr>
        <w:footnoteReference w:id="1"/>
      </w:r>
    </w:p>
    <w:p>
      <w:pPr>
        <w:pStyle w:val="BodyText"/>
      </w:pPr>
      <w:r>
        <w:t xml:space="preserve">《药品管理法实施条例》第43条构成地方政策创新的另一关键授权节点。该条规定”只经营乙类非处方药的药品零售企业，可以按照国务院药品监督管理部门的规定配备药学技术人员”，这意味着国务院药监部门有权为乙类OTC零售企业制定特殊的药师配备标准，省级部门在授权范围内可进一步细化。山西省办法据此对仅经营乙类OTC的企业实行告知承诺制，属于对上位法授权空间的合理运用。但同条亦明确规定”药品零售企业应当凭处方销售处方药”，构成不可突破的刚性底线。</w:t>
      </w:r>
      <w:r>
        <w:rPr>
          <w:vertAlign w:val="superscript"/>
        </w:rPr>
        <w:footnoteReference w:id="2"/>
      </w:r>
    </w:p>
    <w:p>
      <w:pPr>
        <w:pStyle w:val="BodyText"/>
      </w:pPr>
      <w:r>
        <w:t xml:space="preserve">在跨省经营方面，《药品经营和使用质量监督管理办法》第48条为批发企业跨省设置仓库建立了协商机制，48号公告第9条进一步将这一机制扩展至连锁总部。山西省办法据此允许连锁总部跨省设置配送中心，合规性基础较为扎实，但需满足”取得仓库所在地省级药监部门同意”这一程序要件。</w:t>
      </w:r>
      <w:r>
        <w:rPr>
          <w:vertAlign w:val="superscript"/>
        </w:rPr>
        <w:footnoteReference w:id="34"/>
      </w:r>
    </w:p>
    <w:p>
      <w:pPr>
        <w:pStyle w:val="BodyText"/>
      </w:pPr>
      <w:r>
        <w:t xml:space="preserve">值得关注的是智慧药房（柜）的合规边界。48号公告第7条明确”自助售药机不得销售甲类非处方药和处方药”，将自助售药机的销售范围严格限定为乙类OTC。山西省办法将”智慧药房（柜）</w:t>
      </w:r>
      <w:r>
        <w:t xml:space="preserve">“</w:t>
      </w:r>
      <w:r>
        <w:t xml:space="preserve">界定为与</w:t>
      </w:r>
      <w:r>
        <w:t xml:space="preserve">”</w:t>
      </w:r>
      <w:r>
        <w:t xml:space="preserve">自助售药机”不同的业态，前者可销售处方药，但需具备互联网诊疗、远程药学服务设备和能力，确保处方经执业药师审方后方可调配。这一创新是否构成对上位法的突破，取决于”智慧药房（柜）</w:t>
      </w:r>
      <w:r>
        <w:t xml:space="preserve">“</w:t>
      </w:r>
      <w:r>
        <w:t xml:space="preserve">在功能上是否可被归入48号公告所称的</w:t>
      </w:r>
      <w:r>
        <w:t xml:space="preserve">”</w:t>
      </w:r>
      <w:r>
        <w:t xml:space="preserve">自助售药机”范畴。若监管部门在后续执法中将二者视为同类设备，则存在较高的合规风险。</w:t>
      </w:r>
      <w:fldSimple w:instr="NOTEREF _Ref_Footnote_4 \h \f">
        <w:r>
          <w:rPr>
            <w:vertAlign w:val="superscript"/>
          </w:rPr>
          <w:t>4</w:t>
        </w:r>
      </w:fldSimple>
    </w:p>
    <w:bookmarkEnd w:id="26"/>
    <w:bookmarkEnd w:id="27"/>
    <w:bookmarkStart w:id="34" w:name="山西省政策出台背景"/>
    <w:p>
      <w:pPr>
        <w:pStyle w:val="Heading2"/>
      </w:pPr>
      <w:r>
        <w:t xml:space="preserve">1.2 山西省政策出台背景</w:t>
      </w:r>
    </w:p>
    <w:bookmarkStart w:id="31" w:name="行业小而散连锁率缺口作为核心驱动力"/>
    <w:p>
      <w:pPr>
        <w:pStyle w:val="Heading3"/>
      </w:pPr>
      <w:r>
        <w:t xml:space="preserve">1.2.1 行业”小而散”：连锁率缺口作为核心驱动力</w:t>
      </w:r>
    </w:p>
    <w:p>
      <w:pPr>
        <w:pStyle w:val="FirstParagraph"/>
      </w:pPr>
      <w:r>
        <w:t xml:space="preserve">山西省药品零售行业的结构性短板是理解本次政策出台逻辑的关键切入点。根据山西省商务厅、山西省工业和信息化厅2024年9月发布的《山西省现代医药产业链中长期发展规划（2024—2026年）》，截至2023年底，全省共有药品经营企业18,039家，其中批发企业339家、总部连锁企业103家、连锁门店7,863家、单体药店9,734家，零售板块连锁率仅为44.68%。</w:t>
      </w:r>
      <w:r>
        <w:rPr>
          <w:vertAlign w:val="superscript"/>
        </w:rPr>
        <w:footnoteReference w:id="6"/>
      </w:r>
    </w:p>
    <w:p>
      <w:pPr>
        <w:pStyle w:val="BodyText"/>
      </w:pPr>
      <w:r>
        <w:t xml:space="preserve">这一数据在全国坐标系中处于明显偏低位置。国家药监局发布的《药品监督管理统计年度数据（2024年）》显示，截至2024年底，全国零售药店总数为683,666家，其中零售连锁门店389,951家、单体药店293,715家，全国连锁率由2023年的57.81%微降至57.04%。</w:t>
      </w:r>
      <w:r>
        <w:rPr>
          <w:vertAlign w:val="superscript"/>
        </w:rPr>
        <w:footnoteReference w:id="7"/>
      </w:r>
      <w:r>
        <w:t xml:space="preserve"> </w:t>
      </w:r>
      <w:r>
        <w:t xml:space="preserve">山西省的44.68%不仅低于全国平均水平约13个百分点，更与商务部《</w:t>
      </w:r>
      <w:r>
        <w:t xml:space="preserve">“</w:t>
      </w:r>
      <w:r>
        <w:t xml:space="preserve">十四五</w:t>
      </w:r>
      <w:r>
        <w:t xml:space="preserve">”</w:t>
      </w:r>
      <w:r>
        <w:t xml:space="preserve">时期促进药品流通行业高质量发展的指导意见》提出的”2025年药品零售连锁率接近70%“目标存在超过25个百分点的差距。</w:t>
      </w:r>
      <w:r>
        <w:rPr>
          <w:vertAlign w:val="superscript"/>
        </w:rPr>
        <w:footnoteReference w:id="8"/>
      </w:r>
    </w:p>
    <w:p>
      <w:pPr>
        <w:pStyle w:val="BodyText"/>
      </w:pPr>
      <w:r>
        <w:rPr>
          <w:b/>
          <w:bCs/>
        </w:rPr>
        <w:t xml:space="preserve">表2 山西与全国及主要省份药品零售连锁率对比（2023–2024年）</w:t>
      </w:r>
    </w:p>
    <w:tbl>
      <w:tblPr>
        <w:tblStyle w:val="Table"/>
        <w:tblW w:type="pct" w:w="5000"/>
        <w:jc w:val="start"/>
        <w:tblLayout w:type="fixed"/>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地区</w:t>
            </w:r>
          </w:p>
        </w:tc>
        <w:tc>
          <w:tcPr/>
          <w:p>
            <w:pPr>
              <w:pStyle w:val="Compact"/>
              <w:jc w:val="left"/>
            </w:pPr>
            <w:r>
              <w:t xml:space="preserve">连锁率（%）</w:t>
            </w:r>
          </w:p>
        </w:tc>
        <w:tc>
          <w:tcPr/>
          <w:p>
            <w:pPr>
              <w:pStyle w:val="Compact"/>
              <w:jc w:val="left"/>
            </w:pPr>
            <w:r>
              <w:t xml:space="preserve">统计年份</w:t>
            </w:r>
          </w:p>
        </w:tc>
        <w:tc>
          <w:tcPr/>
          <w:p>
            <w:pPr>
              <w:pStyle w:val="Compact"/>
              <w:jc w:val="left"/>
            </w:pPr>
            <w:r>
              <w:t xml:space="preserve">药店总数（家）</w:t>
            </w:r>
          </w:p>
        </w:tc>
        <w:tc>
          <w:tcPr/>
          <w:p>
            <w:pPr>
              <w:pStyle w:val="Compact"/>
              <w:jc w:val="left"/>
            </w:pPr>
            <w:r>
              <w:t xml:space="preserve">连锁门店（家）</w:t>
            </w:r>
          </w:p>
        </w:tc>
        <w:tc>
          <w:tcPr/>
          <w:p>
            <w:pPr>
              <w:pStyle w:val="Compact"/>
              <w:jc w:val="left"/>
            </w:pPr>
            <w:r>
              <w:t xml:space="preserve">单体药店（家）</w:t>
            </w:r>
          </w:p>
        </w:tc>
        <w:tc>
          <w:tcPr/>
          <w:p>
            <w:pPr>
              <w:pStyle w:val="Compact"/>
              <w:jc w:val="left"/>
            </w:pPr>
            <w:r>
              <w:t xml:space="preserve">与全国平均差距（百分点）</w:t>
            </w:r>
          </w:p>
        </w:tc>
      </w:tr>
      <w:tr>
        <w:tc>
          <w:tcPr/>
          <w:p>
            <w:pPr>
              <w:pStyle w:val="Compact"/>
              <w:jc w:val="left"/>
            </w:pPr>
            <w:r>
              <w:t xml:space="preserve">上海</w:t>
            </w:r>
          </w:p>
        </w:tc>
        <w:tc>
          <w:tcPr/>
          <w:p>
            <w:pPr>
              <w:pStyle w:val="Compact"/>
              <w:jc w:val="left"/>
            </w:pPr>
            <w:r>
              <w:t xml:space="preserve">92.90</w:t>
            </w:r>
          </w:p>
        </w:tc>
        <w:tc>
          <w:tcPr/>
          <w:p>
            <w:pPr>
              <w:pStyle w:val="Compact"/>
              <w:jc w:val="left"/>
            </w:pPr>
            <w:r>
              <w:t xml:space="preserve">2024</w:t>
            </w:r>
          </w:p>
        </w:tc>
        <w:tc>
          <w:tcPr/>
          <w:p>
            <w:pPr>
              <w:pStyle w:val="Compact"/>
              <w:jc w:val="left"/>
            </w:pPr>
            <w:r>
              <w:t xml:space="preserve">~4,800</w:t>
            </w:r>
          </w:p>
        </w:tc>
        <w:tc>
          <w:tcPr/>
          <w:p>
            <w:pPr>
              <w:pStyle w:val="Compact"/>
              <w:jc w:val="left"/>
            </w:pPr>
            <w:r>
              <w:t xml:space="preserve">~4,460</w:t>
            </w:r>
          </w:p>
        </w:tc>
        <w:tc>
          <w:tcPr/>
          <w:p>
            <w:pPr>
              <w:pStyle w:val="Compact"/>
              <w:jc w:val="left"/>
            </w:pPr>
            <w:r>
              <w:t xml:space="preserve">~340</w:t>
            </w:r>
          </w:p>
        </w:tc>
        <w:tc>
          <w:tcPr/>
          <w:p>
            <w:pPr>
              <w:pStyle w:val="Compact"/>
              <w:jc w:val="left"/>
            </w:pPr>
            <w:r>
              <w:t xml:space="preserve">+35.86</w:t>
            </w:r>
          </w:p>
        </w:tc>
      </w:tr>
      <w:tr>
        <w:tc>
          <w:tcPr/>
          <w:p>
            <w:pPr>
              <w:pStyle w:val="Compact"/>
              <w:jc w:val="left"/>
            </w:pPr>
            <w:r>
              <w:t xml:space="preserve">四川</w:t>
            </w:r>
          </w:p>
        </w:tc>
        <w:tc>
          <w:tcPr/>
          <w:p>
            <w:pPr>
              <w:pStyle w:val="Compact"/>
              <w:jc w:val="left"/>
            </w:pPr>
            <w:r>
              <w:t xml:space="preserve">72.50</w:t>
            </w:r>
          </w:p>
        </w:tc>
        <w:tc>
          <w:tcPr/>
          <w:p>
            <w:pPr>
              <w:pStyle w:val="Compact"/>
              <w:jc w:val="left"/>
            </w:pPr>
            <w:r>
              <w:t xml:space="preserve">2024</w:t>
            </w:r>
          </w:p>
        </w:tc>
        <w:tc>
          <w:tcPr/>
          <w:p>
            <w:pPr>
              <w:pStyle w:val="Compact"/>
              <w:jc w:val="left"/>
            </w:pPr>
            <w:r>
              <w:t xml:space="preserve">~50,000</w:t>
            </w:r>
          </w:p>
        </w:tc>
        <w:tc>
          <w:tcPr/>
          <w:p>
            <w:pPr>
              <w:pStyle w:val="Compact"/>
              <w:jc w:val="left"/>
            </w:pPr>
            <w:r>
              <w:t xml:space="preserve">~36,250</w:t>
            </w:r>
          </w:p>
        </w:tc>
        <w:tc>
          <w:tcPr/>
          <w:p>
            <w:pPr>
              <w:pStyle w:val="Compact"/>
              <w:jc w:val="left"/>
            </w:pPr>
            <w:r>
              <w:t xml:space="preserve">~13,750</w:t>
            </w:r>
          </w:p>
        </w:tc>
        <w:tc>
          <w:tcPr/>
          <w:p>
            <w:pPr>
              <w:pStyle w:val="Compact"/>
              <w:jc w:val="left"/>
            </w:pPr>
            <w:r>
              <w:t xml:space="preserve">+15.46</w:t>
            </w:r>
          </w:p>
        </w:tc>
      </w:tr>
      <w:tr>
        <w:tc>
          <w:tcPr/>
          <w:p>
            <w:pPr>
              <w:pStyle w:val="Compact"/>
              <w:jc w:val="left"/>
            </w:pPr>
            <w:r>
              <w:t xml:space="preserve">山东</w:t>
            </w:r>
          </w:p>
        </w:tc>
        <w:tc>
          <w:tcPr/>
          <w:p>
            <w:pPr>
              <w:pStyle w:val="Compact"/>
              <w:jc w:val="left"/>
            </w:pPr>
            <w:r>
              <w:t xml:space="preserve">62.00</w:t>
            </w:r>
          </w:p>
        </w:tc>
        <w:tc>
          <w:tcPr/>
          <w:p>
            <w:pPr>
              <w:pStyle w:val="Compact"/>
              <w:jc w:val="left"/>
            </w:pPr>
            <w:r>
              <w:t xml:space="preserve">2024</w:t>
            </w:r>
          </w:p>
        </w:tc>
        <w:tc>
          <w:tcPr/>
          <w:p>
            <w:pPr>
              <w:pStyle w:val="Compact"/>
              <w:jc w:val="left"/>
            </w:pPr>
            <w:r>
              <w:t xml:space="preserve">~48,000</w:t>
            </w:r>
          </w:p>
        </w:tc>
        <w:tc>
          <w:tcPr/>
          <w:p>
            <w:pPr>
              <w:pStyle w:val="Compact"/>
              <w:jc w:val="left"/>
            </w:pPr>
            <w:r>
              <w:t xml:space="preserve">~29,760</w:t>
            </w:r>
          </w:p>
        </w:tc>
        <w:tc>
          <w:tcPr/>
          <w:p>
            <w:pPr>
              <w:pStyle w:val="Compact"/>
              <w:jc w:val="left"/>
            </w:pPr>
            <w:r>
              <w:t xml:space="preserve">~18,240</w:t>
            </w:r>
          </w:p>
        </w:tc>
        <w:tc>
          <w:tcPr/>
          <w:p>
            <w:pPr>
              <w:pStyle w:val="Compact"/>
              <w:jc w:val="left"/>
            </w:pPr>
            <w:r>
              <w:t xml:space="preserve">+4.96</w:t>
            </w:r>
          </w:p>
        </w:tc>
      </w:tr>
      <w:tr>
        <w:tc>
          <w:tcPr/>
          <w:p>
            <w:pPr>
              <w:pStyle w:val="Compact"/>
              <w:jc w:val="left"/>
            </w:pPr>
            <w:r>
              <w:t xml:space="preserve">广西</w:t>
            </w:r>
          </w:p>
        </w:tc>
        <w:tc>
          <w:tcPr/>
          <w:p>
            <w:pPr>
              <w:pStyle w:val="Compact"/>
              <w:jc w:val="left"/>
            </w:pPr>
            <w:r>
              <w:t xml:space="preserve">60.00</w:t>
            </w:r>
          </w:p>
        </w:tc>
        <w:tc>
          <w:tcPr/>
          <w:p>
            <w:pPr>
              <w:pStyle w:val="Compact"/>
              <w:jc w:val="left"/>
            </w:pPr>
            <w:r>
              <w:t xml:space="preserve">2024</w:t>
            </w:r>
          </w:p>
        </w:tc>
        <w:tc>
          <w:tcPr/>
          <w:p>
            <w:pPr>
              <w:pStyle w:val="Compact"/>
              <w:jc w:val="left"/>
            </w:pPr>
            <w:r>
              <w:t xml:space="preserve">~18,000</w:t>
            </w:r>
          </w:p>
        </w:tc>
        <w:tc>
          <w:tcPr/>
          <w:p>
            <w:pPr>
              <w:pStyle w:val="Compact"/>
              <w:jc w:val="left"/>
            </w:pPr>
            <w:r>
              <w:t xml:space="preserve">~10,800</w:t>
            </w:r>
          </w:p>
        </w:tc>
        <w:tc>
          <w:tcPr/>
          <w:p>
            <w:pPr>
              <w:pStyle w:val="Compact"/>
              <w:jc w:val="left"/>
            </w:pPr>
            <w:r>
              <w:t xml:space="preserve">~7,200</w:t>
            </w:r>
          </w:p>
        </w:tc>
        <w:tc>
          <w:tcPr/>
          <w:p>
            <w:pPr>
              <w:pStyle w:val="Compact"/>
              <w:jc w:val="left"/>
            </w:pPr>
            <w:r>
              <w:t xml:space="preserve">+2.96</w:t>
            </w:r>
          </w:p>
        </w:tc>
      </w:tr>
      <w:tr>
        <w:tc>
          <w:tcPr/>
          <w:p>
            <w:pPr>
              <w:pStyle w:val="Compact"/>
              <w:jc w:val="left"/>
            </w:pPr>
            <w:r>
              <w:t xml:space="preserve">全国</w:t>
            </w:r>
          </w:p>
        </w:tc>
        <w:tc>
          <w:tcPr/>
          <w:p>
            <w:pPr>
              <w:pStyle w:val="Compact"/>
              <w:jc w:val="left"/>
            </w:pPr>
            <w:r>
              <w:t xml:space="preserve">57.04</w:t>
            </w:r>
          </w:p>
        </w:tc>
        <w:tc>
          <w:tcPr/>
          <w:p>
            <w:pPr>
              <w:pStyle w:val="Compact"/>
              <w:jc w:val="left"/>
            </w:pPr>
            <w:r>
              <w:t xml:space="preserve">2024</w:t>
            </w:r>
          </w:p>
        </w:tc>
        <w:tc>
          <w:tcPr/>
          <w:p>
            <w:pPr>
              <w:pStyle w:val="Compact"/>
              <w:jc w:val="left"/>
            </w:pPr>
            <w:r>
              <w:t xml:space="preserve">683,666</w:t>
            </w:r>
          </w:p>
        </w:tc>
        <w:tc>
          <w:tcPr/>
          <w:p>
            <w:pPr>
              <w:pStyle w:val="Compact"/>
              <w:jc w:val="left"/>
            </w:pPr>
            <w:r>
              <w:t xml:space="preserve">389,951</w:t>
            </w:r>
          </w:p>
        </w:tc>
        <w:tc>
          <w:tcPr/>
          <w:p>
            <w:pPr>
              <w:pStyle w:val="Compact"/>
              <w:jc w:val="left"/>
            </w:pPr>
            <w:r>
              <w:t xml:space="preserve">293,715</w:t>
            </w:r>
          </w:p>
        </w:tc>
        <w:tc>
          <w:tcPr/>
          <w:p>
            <w:pPr>
              <w:pStyle w:val="Compact"/>
              <w:jc w:val="left"/>
            </w:pPr>
            <w:r>
              <w:t xml:space="preserve">—</w:t>
            </w:r>
          </w:p>
        </w:tc>
      </w:tr>
      <w:tr>
        <w:tc>
          <w:tcPr/>
          <w:p>
            <w:pPr>
              <w:pStyle w:val="Compact"/>
              <w:jc w:val="left"/>
            </w:pPr>
            <w:r>
              <w:t xml:space="preserve">全国</w:t>
            </w:r>
          </w:p>
        </w:tc>
        <w:tc>
          <w:tcPr/>
          <w:p>
            <w:pPr>
              <w:pStyle w:val="Compact"/>
              <w:jc w:val="left"/>
            </w:pPr>
            <w:r>
              <w:t xml:space="preserve">57.81</w:t>
            </w:r>
          </w:p>
        </w:tc>
        <w:tc>
          <w:tcPr/>
          <w:p>
            <w:pPr>
              <w:pStyle w:val="Compact"/>
              <w:jc w:val="left"/>
            </w:pPr>
            <w:r>
              <w:t xml:space="preserve">2023</w:t>
            </w:r>
          </w:p>
        </w:tc>
        <w:tc>
          <w:tcPr/>
          <w:p>
            <w:pPr>
              <w:pStyle w:val="Compact"/>
              <w:jc w:val="left"/>
            </w:pPr>
            <w:r>
              <w:t xml:space="preserve">666,960</w:t>
            </w:r>
          </w:p>
        </w:tc>
        <w:tc>
          <w:tcPr/>
          <w:p>
            <w:pPr>
              <w:pStyle w:val="Compact"/>
              <w:jc w:val="left"/>
            </w:pPr>
            <w:r>
              <w:t xml:space="preserve">385,594</w:t>
            </w:r>
          </w:p>
        </w:tc>
        <w:tc>
          <w:tcPr/>
          <w:p>
            <w:pPr>
              <w:pStyle w:val="Compact"/>
              <w:jc w:val="left"/>
            </w:pPr>
            <w:r>
              <w:t xml:space="preserve">281,366</w:t>
            </w:r>
          </w:p>
        </w:tc>
        <w:tc>
          <w:tcPr/>
          <w:p>
            <w:pPr>
              <w:pStyle w:val="Compact"/>
              <w:jc w:val="left"/>
            </w:pPr>
            <w:r>
              <w:t xml:space="preserve">—</w:t>
            </w:r>
          </w:p>
        </w:tc>
      </w:tr>
      <w:tr>
        <w:tc>
          <w:tcPr/>
          <w:p>
            <w:pPr>
              <w:pStyle w:val="Compact"/>
              <w:jc w:val="left"/>
            </w:pPr>
            <w:r>
              <w:t xml:space="preserve">浙江</w:t>
            </w:r>
          </w:p>
        </w:tc>
        <w:tc>
          <w:tcPr/>
          <w:p>
            <w:pPr>
              <w:pStyle w:val="Compact"/>
              <w:jc w:val="left"/>
            </w:pPr>
            <w:r>
              <w:t xml:space="preserve">48.00</w:t>
            </w:r>
          </w:p>
        </w:tc>
        <w:tc>
          <w:tcPr/>
          <w:p>
            <w:pPr>
              <w:pStyle w:val="Compact"/>
              <w:jc w:val="left"/>
            </w:pPr>
            <w:r>
              <w:t xml:space="preserve">2024</w:t>
            </w:r>
          </w:p>
        </w:tc>
        <w:tc>
          <w:tcPr/>
          <w:p>
            <w:pPr>
              <w:pStyle w:val="Compact"/>
              <w:jc w:val="left"/>
            </w:pPr>
            <w:r>
              <w:t xml:space="preserve">~22,000</w:t>
            </w:r>
          </w:p>
        </w:tc>
        <w:tc>
          <w:tcPr/>
          <w:p>
            <w:pPr>
              <w:pStyle w:val="Compact"/>
              <w:jc w:val="left"/>
            </w:pPr>
            <w:r>
              <w:t xml:space="preserve">~10,560</w:t>
            </w:r>
          </w:p>
        </w:tc>
        <w:tc>
          <w:tcPr/>
          <w:p>
            <w:pPr>
              <w:pStyle w:val="Compact"/>
              <w:jc w:val="left"/>
            </w:pPr>
            <w:r>
              <w:t xml:space="preserve">~11,440</w:t>
            </w:r>
          </w:p>
        </w:tc>
        <w:tc>
          <w:tcPr/>
          <w:p>
            <w:pPr>
              <w:pStyle w:val="Compact"/>
              <w:jc w:val="left"/>
            </w:pPr>
            <w:r>
              <w:t xml:space="preserve">−9.04</w:t>
            </w:r>
          </w:p>
        </w:tc>
      </w:tr>
      <w:tr>
        <w:tc>
          <w:tcPr/>
          <w:p>
            <w:pPr>
              <w:pStyle w:val="Compact"/>
              <w:jc w:val="left"/>
            </w:pPr>
            <w:r>
              <w:t xml:space="preserve">湖北</w:t>
            </w:r>
          </w:p>
        </w:tc>
        <w:tc>
          <w:tcPr/>
          <w:p>
            <w:pPr>
              <w:pStyle w:val="Compact"/>
              <w:jc w:val="left"/>
            </w:pPr>
            <w:r>
              <w:t xml:space="preserve">46.00</w:t>
            </w:r>
          </w:p>
        </w:tc>
        <w:tc>
          <w:tcPr/>
          <w:p>
            <w:pPr>
              <w:pStyle w:val="Compact"/>
              <w:jc w:val="left"/>
            </w:pPr>
            <w:r>
              <w:t xml:space="preserve">2024</w:t>
            </w:r>
          </w:p>
        </w:tc>
        <w:tc>
          <w:tcPr/>
          <w:p>
            <w:pPr>
              <w:pStyle w:val="Compact"/>
              <w:jc w:val="left"/>
            </w:pPr>
            <w:r>
              <w:t xml:space="preserve">~20,000</w:t>
            </w:r>
          </w:p>
        </w:tc>
        <w:tc>
          <w:tcPr/>
          <w:p>
            <w:pPr>
              <w:pStyle w:val="Compact"/>
              <w:jc w:val="left"/>
            </w:pPr>
            <w:r>
              <w:t xml:space="preserve">~9,200</w:t>
            </w:r>
          </w:p>
        </w:tc>
        <w:tc>
          <w:tcPr/>
          <w:p>
            <w:pPr>
              <w:pStyle w:val="Compact"/>
              <w:jc w:val="left"/>
            </w:pPr>
            <w:r>
              <w:t xml:space="preserve">~10,800</w:t>
            </w:r>
          </w:p>
        </w:tc>
        <w:tc>
          <w:tcPr/>
          <w:p>
            <w:pPr>
              <w:pStyle w:val="Compact"/>
              <w:jc w:val="left"/>
            </w:pPr>
            <w:r>
              <w:t xml:space="preserve">−11.04</w:t>
            </w:r>
          </w:p>
        </w:tc>
      </w:tr>
      <w:tr>
        <w:tc>
          <w:tcPr/>
          <w:p>
            <w:pPr>
              <w:pStyle w:val="Compact"/>
              <w:jc w:val="left"/>
            </w:pPr>
            <w:r>
              <w:t xml:space="preserve">山西</w:t>
            </w:r>
          </w:p>
        </w:tc>
        <w:tc>
          <w:tcPr/>
          <w:p>
            <w:pPr>
              <w:pStyle w:val="Compact"/>
              <w:jc w:val="left"/>
            </w:pPr>
            <w:r>
              <w:t xml:space="preserve">44.68</w:t>
            </w:r>
          </w:p>
        </w:tc>
        <w:tc>
          <w:tcPr/>
          <w:p>
            <w:pPr>
              <w:pStyle w:val="Compact"/>
              <w:jc w:val="left"/>
            </w:pPr>
            <w:r>
              <w:t xml:space="preserve">2023</w:t>
            </w:r>
          </w:p>
        </w:tc>
        <w:tc>
          <w:tcPr/>
          <w:p>
            <w:pPr>
              <w:pStyle w:val="Compact"/>
              <w:jc w:val="left"/>
            </w:pPr>
            <w:r>
              <w:t xml:space="preserve">17,700</w:t>
            </w:r>
          </w:p>
        </w:tc>
        <w:tc>
          <w:tcPr/>
          <w:p>
            <w:pPr>
              <w:pStyle w:val="Compact"/>
              <w:jc w:val="left"/>
            </w:pPr>
            <w:r>
              <w:t xml:space="preserve">7,863</w:t>
            </w:r>
          </w:p>
        </w:tc>
        <w:tc>
          <w:tcPr/>
          <w:p>
            <w:pPr>
              <w:pStyle w:val="Compact"/>
              <w:jc w:val="left"/>
            </w:pPr>
            <w:r>
              <w:t xml:space="preserve">9,734</w:t>
            </w:r>
          </w:p>
        </w:tc>
        <w:tc>
          <w:tcPr/>
          <w:p>
            <w:pPr>
              <w:pStyle w:val="Compact"/>
              <w:jc w:val="left"/>
            </w:pPr>
            <w:r>
              <w:t xml:space="preserve">−12.33¹</w:t>
            </w:r>
          </w:p>
        </w:tc>
      </w:tr>
      <w:tr>
        <w:tc>
          <w:tcPr/>
          <w:p>
            <w:pPr>
              <w:pStyle w:val="Compact"/>
              <w:jc w:val="left"/>
            </w:pPr>
            <w:r>
              <w:t xml:space="preserve">广东</w:t>
            </w:r>
          </w:p>
        </w:tc>
        <w:tc>
          <w:tcPr/>
          <w:p>
            <w:pPr>
              <w:pStyle w:val="Compact"/>
              <w:jc w:val="left"/>
            </w:pPr>
            <w:r>
              <w:t xml:space="preserve">47.00</w:t>
            </w:r>
          </w:p>
        </w:tc>
        <w:tc>
          <w:tcPr/>
          <w:p>
            <w:pPr>
              <w:pStyle w:val="Compact"/>
              <w:jc w:val="left"/>
            </w:pPr>
            <w:r>
              <w:t xml:space="preserve">2024</w:t>
            </w:r>
          </w:p>
        </w:tc>
        <w:tc>
          <w:tcPr/>
          <w:p>
            <w:pPr>
              <w:pStyle w:val="Compact"/>
              <w:jc w:val="left"/>
            </w:pPr>
            <w:r>
              <w:t xml:space="preserve">~60,000</w:t>
            </w:r>
          </w:p>
        </w:tc>
        <w:tc>
          <w:tcPr/>
          <w:p>
            <w:pPr>
              <w:pStyle w:val="Compact"/>
              <w:jc w:val="left"/>
            </w:pPr>
            <w:r>
              <w:t xml:space="preserve">~28,200</w:t>
            </w:r>
          </w:p>
        </w:tc>
        <w:tc>
          <w:tcPr/>
          <w:p>
            <w:pPr>
              <w:pStyle w:val="Compact"/>
              <w:jc w:val="left"/>
            </w:pPr>
            <w:r>
              <w:t xml:space="preserve">~31,800</w:t>
            </w:r>
          </w:p>
        </w:tc>
        <w:tc>
          <w:tcPr/>
          <w:p>
            <w:pPr>
              <w:pStyle w:val="Compact"/>
              <w:jc w:val="left"/>
            </w:pPr>
            <w:r>
              <w:t xml:space="preserve">−10.04</w:t>
            </w:r>
          </w:p>
        </w:tc>
      </w:tr>
      <w:tr>
        <w:tc>
          <w:tcPr/>
          <w:p>
            <w:pPr>
              <w:pStyle w:val="Compact"/>
              <w:jc w:val="left"/>
            </w:pPr>
            <w:r>
              <w:t xml:space="preserve">福建</w:t>
            </w:r>
          </w:p>
        </w:tc>
        <w:tc>
          <w:tcPr/>
          <w:p>
            <w:pPr>
              <w:pStyle w:val="Compact"/>
              <w:jc w:val="left"/>
            </w:pPr>
            <w:r>
              <w:t xml:space="preserve">45.00</w:t>
            </w:r>
          </w:p>
        </w:tc>
        <w:tc>
          <w:tcPr/>
          <w:p>
            <w:pPr>
              <w:pStyle w:val="Compact"/>
              <w:jc w:val="left"/>
            </w:pPr>
            <w:r>
              <w:t xml:space="preserve">2024</w:t>
            </w:r>
          </w:p>
        </w:tc>
        <w:tc>
          <w:tcPr/>
          <w:p>
            <w:pPr>
              <w:pStyle w:val="Compact"/>
              <w:jc w:val="left"/>
            </w:pPr>
            <w:r>
              <w:t xml:space="preserve">~12,000</w:t>
            </w:r>
          </w:p>
        </w:tc>
        <w:tc>
          <w:tcPr/>
          <w:p>
            <w:pPr>
              <w:pStyle w:val="Compact"/>
              <w:jc w:val="left"/>
            </w:pPr>
            <w:r>
              <w:t xml:space="preserve">~5,400</w:t>
            </w:r>
          </w:p>
        </w:tc>
        <w:tc>
          <w:tcPr/>
          <w:p>
            <w:pPr>
              <w:pStyle w:val="Compact"/>
              <w:jc w:val="left"/>
            </w:pPr>
            <w:r>
              <w:t xml:space="preserve">~6,600</w:t>
            </w:r>
          </w:p>
        </w:tc>
        <w:tc>
          <w:tcPr/>
          <w:p>
            <w:pPr>
              <w:pStyle w:val="Compact"/>
              <w:jc w:val="left"/>
            </w:pPr>
            <w:r>
              <w:t xml:space="preserve">−12.04</w:t>
            </w:r>
          </w:p>
        </w:tc>
      </w:tr>
    </w:tbl>
    <w:p>
      <w:pPr>
        <w:pStyle w:val="BodyText"/>
      </w:pPr>
      <w:r>
        <w:t xml:space="preserve">¹ 山西数据为2023年底统计，与2024年全国数据存在时间差，但即便以同期口径比较，山西仍显著低于全国平均。数据来源：山西省商务厅、国家药监局统计年度数据、行业研究综合测算。</w:t>
      </w:r>
      <w:r>
        <w:rPr>
          <w:vertAlign w:val="superscript"/>
        </w:rPr>
        <w:footnoteReference w:id="67"/>
      </w:r>
    </w:p>
    <w:p>
      <w:pPr>
        <w:pStyle w:val="CaptionedFigure"/>
      </w:pPr>
      <w:r>
        <w:drawing>
          <wp:inline>
            <wp:extent cx="5334000" cy="3158146"/>
            <wp:effectExtent b="0" l="0" r="0" t="0"/>
            <wp:docPr descr="全国及部分省份药品零售连锁率对比" title="" id="29" name="Picture"/>
            <a:graphic>
              <a:graphicData uri="http://schemas.openxmlformats.org/drawingml/2006/picture">
                <pic:pic>
                  <pic:nvPicPr>
                    <pic:cNvPr descr="chain_rate_comparison.png" id="30" name="Picture"/>
                    <pic:cNvPicPr>
                      <a:picLocks noChangeArrowheads="1" noChangeAspect="1"/>
                    </pic:cNvPicPr>
                  </pic:nvPicPr>
                  <pic:blipFill>
                    <a:blip r:embed="rId28"/>
                    <a:stretch>
                      <a:fillRect/>
                    </a:stretch>
                  </pic:blipFill>
                  <pic:spPr bwMode="auto">
                    <a:xfrm>
                      <a:off x="0" y="0"/>
                      <a:ext cx="5334000" cy="3158146"/>
                    </a:xfrm>
                    <a:prstGeom prst="rect">
                      <a:avLst/>
                    </a:prstGeom>
                    <a:noFill/>
                    <a:ln w="9525">
                      <a:noFill/>
                      <a:headEnd/>
                      <a:tailEnd/>
                    </a:ln>
                  </pic:spPr>
                </pic:pic>
              </a:graphicData>
            </a:graphic>
          </wp:inline>
        </w:drawing>
      </w:r>
    </w:p>
    <w:p>
      <w:pPr>
        <w:pStyle w:val="ImageCaption"/>
      </w:pPr>
      <w:r>
        <w:t xml:space="preserve">全国及部分省份药品零售连锁率对比</w:t>
      </w:r>
    </w:p>
    <w:p>
      <w:pPr>
        <w:pStyle w:val="BodyText"/>
      </w:pPr>
      <w:r>
        <w:t xml:space="preserve">从空间分布看，山西连锁率偏低并非孤立现象。福建、广东、浙江等民营经济活跃省份同样存在连锁率低于50%的情况，其背后反映了单体药店在特定区域市场仍具备较强的成本适应性与经营灵活性。然而，山西的特殊性在于：其医药零售市场规模约112.8亿元（2023年），占全国份额仅2.19%，店均服务人口2,136人，略低于全国2,155人水平，行业整体增长乏力，大部分企业销售额较2022年出现下滑。</w:t>
      </w:r>
      <w:r>
        <w:rPr>
          <w:vertAlign w:val="superscript"/>
        </w:rPr>
        <w:footnoteReference w:id="9"/>
      </w:r>
      <w:r>
        <w:t xml:space="preserve"> </w:t>
      </w:r>
      <w:r>
        <w:t xml:space="preserve">在增量空间有限的前提下，通过政策手段推动存量整合、提升行业集中度，成为监管部门的可行选择。</w:t>
      </w:r>
    </w:p>
    <w:p>
      <w:pPr>
        <w:pStyle w:val="BodyText"/>
      </w:pPr>
      <w:r>
        <w:t xml:space="preserve">山西省办法的制度设计直接回应了这一结构性缺口。单体药店经营面积门槛设定为70平方米，连锁门店仅为40平方米，二者之间30平方米的差距构成了明确的梯度化激励——单体药店若不愿承担更高的面积成本，可选择加盟连锁或被收购整合。同时，10家门店的连锁准入门槛、许可证有效期内门店数量不达标即撤销的”硬约束”，以及收购兼并期间不暂停经营等便利化条款，均指向同一政策目标：压缩单体药店生存空间，推动资源向连锁体系集中。参照山东、北京、广东等省份在提高连锁门槛后的经验，山西连锁率预计在办法施行后2至3年内由44.68%向55%–60%区间跃升。</w:t>
      </w:r>
    </w:p>
    <w:bookmarkEnd w:id="31"/>
    <w:bookmarkStart w:id="32" w:name="政策制定过程从制度碎片化到省级统一规章"/>
    <w:p>
      <w:pPr>
        <w:pStyle w:val="Heading3"/>
      </w:pPr>
      <w:r>
        <w:t xml:space="preserve">1.2.2 政策制定过程：从制度碎片化到省级统一规章</w:t>
      </w:r>
    </w:p>
    <w:p>
      <w:pPr>
        <w:pStyle w:val="FirstParagraph"/>
      </w:pPr>
      <w:r>
        <w:t xml:space="preserve">在国家层面药品零售监管框架密集更新的背景下，山西省此前缺乏一部系统整合药品零售经营许可、连锁管理、网络销售、新业态监管等内容的省级专门规章，存在制度碎片化与监管标准不统一的问题。2024年1月1日施行的《药品经营和使用质量监督管理办法》（84号令）、2022年12月1日施行的《药品网络销售监督管理办法》以及2026年5月25日发布的《处方药网络零售合规指南》，均要求省级监管部门制定配套落地细则。山西省的滞后不仅造成监管执法依据分散，也使得企业在跨区域经营时面临标准不一的合规成本。</w:t>
      </w:r>
    </w:p>
    <w:p>
      <w:pPr>
        <w:pStyle w:val="BodyText"/>
      </w:pPr>
      <w:r>
        <w:t xml:space="preserve">山西省药品监督管理局联合山西省行政审批服务管理局于2026年2月12日印发《药品零售经营监督管理办法（试行）》（晋药监规〔2026〕7号），自2026年5月1日起施行，有效期至2028年4月30日，试行期为两年。</w:t>
      </w:r>
      <w:r>
        <w:rPr>
          <w:vertAlign w:val="superscript"/>
        </w:rPr>
        <w:footnoteReference w:id="10"/>
      </w:r>
      <w:r>
        <w:t xml:space="preserve"> </w:t>
      </w:r>
      <w:r>
        <w:t xml:space="preserve">文件由药监局与行政审批局联合发布，体现了行政许可权与监管执法权在省级层面的协调配置：省药监局负责连锁总部的许可与监管，市县市场监管部门及行政审批部门负责单体药店和连锁门店的许可与日常监督。这种”分级审批、联合检查”的体制安排，与《药品管理法实施条例》第42条的规定相衔接，同时在程序上增加了”行政审批部门的人员和药品流通检查员联合开展现场检查”的要求，强化了技术审评与行政审批的协同。</w:t>
      </w:r>
      <w:fldSimple w:instr="NOTEREF _Ref_Footnote_2 \h \f">
        <w:r>
          <w:rPr>
            <w:vertAlign w:val="superscript"/>
          </w:rPr>
          <w:t>2</w:t>
        </w:r>
      </w:fldSimple>
    </w:p>
    <w:p>
      <w:pPr>
        <w:pStyle w:val="BodyText"/>
      </w:pPr>
      <w:r>
        <w:t xml:space="preserve">两年试行期的设定具有明确的政策评估意图。办法第六十一条规定”已取得许可证的单体药店或连锁门店变更经营地址、仓库地址的应符合本办法要求；其他企业以许可证有效期为准，在届满前达到要求”，这意味着存量企业不立即受新规冲击，但须在许可证届满前完成达标。2028年4月30日的有效期节点，为监管部门提供了充足的政策评估窗口，以便根据行业反馈决定是否将部分条款固化或调整。</w:t>
      </w:r>
    </w:p>
    <w:bookmarkEnd w:id="32"/>
    <w:bookmarkStart w:id="33" w:name="与放管服改革和四个最严监管原则的平衡"/>
    <w:p>
      <w:pPr>
        <w:pStyle w:val="Heading3"/>
      </w:pPr>
      <w:r>
        <w:t xml:space="preserve">1.2.3 与”放管服”改革和”四个最严”监管原则的平衡</w:t>
      </w:r>
    </w:p>
    <w:p>
      <w:pPr>
        <w:pStyle w:val="FirstParagraph"/>
      </w:pPr>
      <w:r>
        <w:t xml:space="preserve">山西省办法的立法定位需要在两条政策主线之间寻求平衡：一是国务院持续推进的”放管服”改革，强调简政放权、优化审批流程、降低制度性交易成本；二是药品监管领域长期坚持的”四个最严”原则，即最严谨的标准、最严格的监管、最严厉的处罚、最严肃的问责。</w:t>
      </w:r>
      <w:r>
        <w:rPr>
          <w:vertAlign w:val="superscript"/>
        </w:rPr>
        <w:footnoteReference w:id="11"/>
      </w:r>
    </w:p>
    <w:p>
      <w:pPr>
        <w:pStyle w:val="BodyText"/>
      </w:pPr>
      <w:r>
        <w:t xml:space="preserve">在”放”的维度，山西省办法纳入了多项便利化措施。仅经营乙类OTC的企业实行告知承诺制，申请人向县级行政审批部门申请，符合条件的当日颁发许可证，自许可决定作出之日起3个月内由药监部门开展事后核查。这一制度并非山西独创，新疆、广西北海、河北保定、福建泉州、广东汕尾等地此前均已实施，属于国务院”放管服”改革在药品零售领域的通行做法。</w:t>
      </w:r>
      <w:r>
        <w:rPr>
          <w:vertAlign w:val="superscript"/>
        </w:rPr>
        <w:footnoteReference w:id="1213141516"/>
      </w:r>
      <w:r>
        <w:t xml:space="preserve"> </w:t>
      </w:r>
      <w:r>
        <w:t xml:space="preserve">此外，单体药店变更为连锁门店时，若营业场所、仓库地址、质量管理体系未发生变化，可免现场检查；连锁企业通过收购兼并增加门店期间，可不暂停原有经营活动。这些条款显著降低了行业整合的制度性交易成本。</w:t>
      </w:r>
    </w:p>
    <w:p>
      <w:pPr>
        <w:pStyle w:val="BodyText"/>
      </w:pPr>
      <w:r>
        <w:t xml:space="preserve">在”管”的维度，办法设置了严格的底线约束。单体药店法定代表人须具有执业药师资格；连锁总部质量负责人须具有执业药师资格、3年以上药品经营质量管理工作经历且本科以上学历；远程药学服务不得取代驻店执业药师，且不得采用人工智能对处方药自动审方；药品零售企业须建立覆盖采购、储存、销售全流程的追溯体系，实施全品种追溯码信息采集与上传。信用监管与分级分类管理也被写入省级规章，第五十八条明确要求”完善并执行失信行为认定、记录、归集、共享、公开、惩戒和信用修复等机制”。</w:t>
      </w:r>
      <w:fldSimple w:instr="NOTEREF _Ref_Footnote_10 \h \f">
        <w:r>
          <w:rPr>
            <w:vertAlign w:val="superscript"/>
          </w:rPr>
          <w:t>10</w:t>
        </w:r>
      </w:fldSimple>
    </w:p>
    <w:p>
      <w:pPr>
        <w:pStyle w:val="BodyText"/>
      </w:pPr>
      <w:r>
        <w:t xml:space="preserve">两条主线之间的平衡机制可概括为”宽进严管、放管结合”。告知承诺制压缩了准入时间，但不改变事中事后监管强度——企业承诺不属实将被撤销许可并列入失信名单。鼓励连锁经营与统一采购配送降低了流通成本，但”七统一”管理和门店不得自行采购的刚性约束强化了总部对门店的质量主体责任。智慧药房等新业态获得制度准入，但处方来源真实性、执业药师远程审方、温湿度自动监测等技术要求构成叠加式监管屏障。这一平衡逻辑与国务院办公厅2025年1月3日印发的《关于全面深化药品医疗器械监管改革促进医药产业高质量发展的意见》精神一致：在鼓励创新的同时，</w:t>
      </w:r>
      <w:r>
        <w:t xml:space="preserve">“</w:t>
      </w:r>
      <w:r>
        <w:t xml:space="preserve">严格药品安全监管</w:t>
      </w:r>
      <w:r>
        <w:t xml:space="preserve">”</w:t>
      </w:r>
      <w:r>
        <w:t xml:space="preserve">，确保”促发展”不偏离”保安全”的轨道。</w:t>
      </w:r>
      <w:r>
        <w:rPr>
          <w:vertAlign w:val="superscript"/>
        </w:rPr>
        <w:footnoteReference w:id="17"/>
      </w:r>
    </w:p>
    <w:p>
      <w:r>
        <w:pict>
          <v:rect style="width:0;height:1.5pt" o:hralign="center" o:hrstd="t" o:hr="t"/>
        </w:pict>
      </w:r>
    </w:p>
    <w:p>
      <w:r>
        <w:pict>
          <v:rect style="width:0;height:1.5pt" o:hralign="center" o:hrstd="t" o:hr="t"/>
        </w:pict>
      </w:r>
    </w:p>
    <w:bookmarkEnd w:id="33"/>
    <w:bookmarkEnd w:id="34"/>
    <w:bookmarkStart w:id="50" w:name="山西省政策核心内容深度解读"/>
    <w:p>
      <w:pPr>
        <w:pStyle w:val="Heading2"/>
      </w:pPr>
      <w:r>
        <w:t xml:space="preserve">2. 山西省政策核心内容深度解读</w:t>
      </w:r>
    </w:p>
    <w:p>
      <w:pPr>
        <w:pStyle w:val="FirstParagraph"/>
      </w:pPr>
      <w:r>
        <w:t xml:space="preserve">山西省《药品零售经营监督管理办法（试行）》（晋药监规〔2026〕7号）共六章六十二条，自2026年5月1日起施行，有效期至2028年4月30日。作为山西省首部系统整合药品零售经营许可、连锁管理、网络销售、新业态监管等内容的省级专门规章，其制度设计呈现出”规范与发展并重、收紧与放宽协同”的鲜明特征。以下从售药渠道创新、药食同源销售放宽、连锁经营与经营管理、远程药学服务与网络销售四个维度进行逐条深度解读。</w:t>
      </w:r>
    </w:p>
    <w:bookmarkStart w:id="38" w:name="售药渠道创新三类设施的差异化定位"/>
    <w:p>
      <w:pPr>
        <w:pStyle w:val="Heading3"/>
      </w:pPr>
      <w:r>
        <w:t xml:space="preserve">2.1 售药渠道创新：三类设施的差异化定位</w:t>
      </w:r>
    </w:p>
    <w:p>
      <w:pPr>
        <w:pStyle w:val="FirstParagraph"/>
      </w:pPr>
      <w:r>
        <w:t xml:space="preserve">山西省药品零售行业长期面临服务网点覆盖不足与夜间用药可及性偏低的结构性矛盾。截至2023年底，全省18,039家药品经营企业中，单体药店达9,734家，占比超过53.9%，大量乡镇及社区在夜间和节假日存在”买药难”问题。</w:t>
      </w:r>
      <w:r>
        <w:rPr>
          <w:vertAlign w:val="superscript"/>
        </w:rPr>
        <w:footnoteReference w:id="18"/>
      </w:r>
      <w:r>
        <w:t xml:space="preserve"> </w:t>
      </w:r>
      <w:r>
        <w:t xml:space="preserve">山西办法第二十三条首次在省级规章层面构建了药品销售专柜、自助售药机与智慧药房（柜）三类设施的梯度化许可体系，为零售终端的”毛细血管式”延伸提供了法治化路径。</w:t>
      </w:r>
    </w:p>
    <w:bookmarkStart w:id="35" w:name="药品销售专柜自助售药机智慧药房柜的设施定义与监管差异"/>
    <w:p>
      <w:pPr>
        <w:pStyle w:val="Heading4"/>
      </w:pPr>
      <w:r>
        <w:t xml:space="preserve">2.1.1 药品销售专柜、自助售药机、智慧药房（柜）的设施定义与监管差异</w:t>
      </w:r>
    </w:p>
    <w:p>
      <w:pPr>
        <w:pStyle w:val="FirstParagraph"/>
      </w:pPr>
      <w:r>
        <w:t xml:space="preserve">山西对三类设施的定义并非简单的销售范围差异，而是对应了三种不同的技术能力门槛、药学服务深度与监管责任配置。这一精细化分类在现行国家法规框架内具有逻辑自洽性：2024年国家药监局第48号公告明确禁止”自助售药机”销售甲类非处方药和处方药，但并未定义或规范”智慧药房（柜）</w:t>
      </w:r>
      <w:r>
        <w:t xml:space="preserve">“</w:t>
      </w:r>
      <w:r>
        <w:t xml:space="preserve">。</w:t>
      </w:r>
      <w:fldSimple w:instr="NOTEREF _Ref_Footnote_4 \h \f">
        <w:r>
          <w:rPr>
            <w:vertAlign w:val="superscript"/>
          </w:rPr>
          <w:t>4</w:t>
        </w:r>
      </w:fldSimple>
      <w:r>
        <w:t xml:space="preserve"> </w:t>
      </w:r>
      <w:r>
        <w:t xml:space="preserve">山西通过概念区分，在48号公告的</w:t>
      </w:r>
      <w:r>
        <w:t xml:space="preserve">”</w:t>
      </w:r>
      <w:r>
        <w:t xml:space="preserve">空白地带”为智慧药房开辟了独立监管通道。</w:t>
      </w:r>
    </w:p>
    <w:tbl>
      <w:tblPr>
        <w:tblStyle w:val="Table"/>
        <w:tblW w:type="pct" w:w="5000"/>
        <w:jc w:val="start"/>
        <w:tblLayout w:type="fixed"/>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对比维度</w:t>
            </w:r>
          </w:p>
        </w:tc>
        <w:tc>
          <w:tcPr/>
          <w:p>
            <w:pPr>
              <w:pStyle w:val="Compact"/>
              <w:jc w:val="left"/>
            </w:pPr>
            <w:r>
              <w:t xml:space="preserve">药品销售专柜</w:t>
            </w:r>
          </w:p>
        </w:tc>
        <w:tc>
          <w:tcPr/>
          <w:p>
            <w:pPr>
              <w:pStyle w:val="Compact"/>
              <w:jc w:val="left"/>
            </w:pPr>
            <w:r>
              <w:t xml:space="preserve">自助售药机</w:t>
            </w:r>
          </w:p>
        </w:tc>
        <w:tc>
          <w:tcPr/>
          <w:p>
            <w:pPr>
              <w:pStyle w:val="Compact"/>
              <w:jc w:val="left"/>
            </w:pPr>
            <w:r>
              <w:t xml:space="preserve">智慧药房（柜）</w:t>
            </w:r>
          </w:p>
        </w:tc>
      </w:tr>
      <w:tr>
        <w:tc>
          <w:tcPr/>
          <w:p>
            <w:pPr>
              <w:pStyle w:val="Compact"/>
              <w:jc w:val="left"/>
            </w:pPr>
            <w:r>
              <w:t xml:space="preserve">设施定义</w:t>
            </w:r>
          </w:p>
        </w:tc>
        <w:tc>
          <w:tcPr/>
          <w:p>
            <w:pPr>
              <w:pStyle w:val="Compact"/>
              <w:jc w:val="left"/>
            </w:pPr>
            <w:r>
              <w:t xml:space="preserve">经营场所内设置的专门销售药品的柜台</w:t>
            </w:r>
          </w:p>
        </w:tc>
        <w:tc>
          <w:tcPr/>
          <w:p>
            <w:pPr>
              <w:pStyle w:val="Compact"/>
              <w:jc w:val="left"/>
            </w:pPr>
            <w:r>
              <w:t xml:space="preserve">消费者自助选购、自动结算的自动化设备</w:t>
            </w:r>
          </w:p>
        </w:tc>
        <w:tc>
          <w:tcPr/>
          <w:p>
            <w:pPr>
              <w:pStyle w:val="Compact"/>
              <w:jc w:val="left"/>
            </w:pPr>
            <w:r>
              <w:t xml:space="preserve">应用大数据、云计算、物联网，对接互联网医院、电子处方流转平台、远程审方平台的数字化零售终端</w:t>
            </w:r>
            <w:r>
              <w:t xml:space="preserve"> </w:t>
            </w:r>
            <w:fldSimple w:instr="NOTEREF _Ref_Footnote_10 \h \f">
              <w:r>
                <w:rPr>
                  <w:vertAlign w:val="superscript"/>
                </w:rPr>
                <w:t>10</w:t>
              </w:r>
            </w:fldSimple>
          </w:p>
        </w:tc>
      </w:tr>
      <w:tr>
        <w:tc>
          <w:tcPr/>
          <w:p>
            <w:pPr>
              <w:pStyle w:val="Compact"/>
              <w:jc w:val="left"/>
            </w:pPr>
            <w:r>
              <w:t xml:space="preserve">可售药品范围</w:t>
            </w:r>
          </w:p>
        </w:tc>
        <w:tc>
          <w:tcPr/>
          <w:p>
            <w:pPr>
              <w:pStyle w:val="Compact"/>
              <w:jc w:val="left"/>
            </w:pPr>
            <w:r>
              <w:t xml:space="preserve">仅乙类非处方药</w:t>
            </w:r>
          </w:p>
        </w:tc>
        <w:tc>
          <w:tcPr/>
          <w:p>
            <w:pPr>
              <w:pStyle w:val="Compact"/>
              <w:jc w:val="left"/>
            </w:pPr>
            <w:r>
              <w:t xml:space="preserve">仅乙类非处方药</w:t>
            </w:r>
          </w:p>
        </w:tc>
        <w:tc>
          <w:tcPr/>
          <w:p>
            <w:pPr>
              <w:pStyle w:val="Compact"/>
              <w:jc w:val="left"/>
            </w:pPr>
            <w:r>
              <w:t xml:space="preserve">处方药及非处方药</w:t>
            </w:r>
            <w:r>
              <w:t xml:space="preserve"> </w:t>
            </w:r>
            <w:fldSimple w:instr="NOTEREF _Ref_Footnote_10 \h \f">
              <w:r>
                <w:rPr>
                  <w:vertAlign w:val="superscript"/>
                </w:rPr>
                <w:t>10</w:t>
              </w:r>
            </w:fldSimple>
          </w:p>
        </w:tc>
      </w:tr>
      <w:tr>
        <w:tc>
          <w:tcPr/>
          <w:p>
            <w:pPr>
              <w:pStyle w:val="Compact"/>
              <w:jc w:val="left"/>
            </w:pPr>
            <w:r>
              <w:t xml:space="preserve">处方药销售条件</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具备互联网诊疗、远程药学服务设备；处方来源真实可靠；经执业药师审方后调配出售</w:t>
            </w:r>
            <w:r>
              <w:t xml:space="preserve"> </w:t>
            </w:r>
            <w:fldSimple w:instr="NOTEREF _Ref_Footnote_10 \h \f">
              <w:r>
                <w:rPr>
                  <w:vertAlign w:val="superscript"/>
                </w:rPr>
                <w:t>10</w:t>
              </w:r>
            </w:fldSimple>
          </w:p>
        </w:tc>
      </w:tr>
      <w:tr>
        <w:tc>
          <w:tcPr/>
          <w:p>
            <w:pPr>
              <w:pStyle w:val="Compact"/>
              <w:jc w:val="left"/>
            </w:pPr>
            <w:r>
              <w:t xml:space="preserve">设置场所</w:t>
            </w:r>
          </w:p>
        </w:tc>
        <w:tc>
          <w:tcPr/>
          <w:p>
            <w:pPr>
              <w:pStyle w:val="Compact"/>
              <w:jc w:val="left"/>
            </w:pPr>
            <w:r>
              <w:t xml:space="preserve">机场、车站、景点、院校、商场、超市、街道社区、住宅小区等人口聚集场所</w:t>
            </w:r>
          </w:p>
        </w:tc>
        <w:tc>
          <w:tcPr/>
          <w:p>
            <w:pPr>
              <w:pStyle w:val="Compact"/>
              <w:jc w:val="left"/>
            </w:pPr>
            <w:r>
              <w:t xml:space="preserve">同上</w:t>
            </w:r>
          </w:p>
        </w:tc>
        <w:tc>
          <w:tcPr/>
          <w:p>
            <w:pPr>
              <w:pStyle w:val="Compact"/>
              <w:jc w:val="left"/>
            </w:pPr>
            <w:r>
              <w:t xml:space="preserve">同上</w:t>
            </w:r>
            <w:r>
              <w:t xml:space="preserve"> </w:t>
            </w:r>
            <w:fldSimple w:instr="NOTEREF _Ref_Footnote_10 \h \f">
              <w:r>
                <w:rPr>
                  <w:vertAlign w:val="superscript"/>
                </w:rPr>
                <w:t>10</w:t>
              </w:r>
            </w:fldSimple>
          </w:p>
        </w:tc>
      </w:tr>
      <w:tr>
        <w:tc>
          <w:tcPr/>
          <w:p>
            <w:pPr>
              <w:pStyle w:val="Compact"/>
              <w:jc w:val="left"/>
            </w:pPr>
            <w:r>
              <w:t xml:space="preserve">审批要求</w:t>
            </w:r>
          </w:p>
        </w:tc>
        <w:tc>
          <w:tcPr/>
          <w:p>
            <w:pPr>
              <w:pStyle w:val="Compact"/>
              <w:jc w:val="left"/>
            </w:pPr>
            <w:r>
              <w:t xml:space="preserve">经行政审批部门核准；放置地址在许可证”经营地址”项下注明</w:t>
            </w:r>
          </w:p>
        </w:tc>
        <w:tc>
          <w:tcPr/>
          <w:p>
            <w:pPr>
              <w:pStyle w:val="Compact"/>
              <w:jc w:val="left"/>
            </w:pPr>
            <w:r>
              <w:t xml:space="preserve">同上</w:t>
            </w:r>
          </w:p>
        </w:tc>
        <w:tc>
          <w:tcPr/>
          <w:p>
            <w:pPr>
              <w:pStyle w:val="Compact"/>
              <w:jc w:val="left"/>
            </w:pPr>
            <w:r>
              <w:t xml:space="preserve">同上</w:t>
            </w:r>
            <w:r>
              <w:t xml:space="preserve"> </w:t>
            </w:r>
            <w:fldSimple w:instr="NOTEREF _Ref_Footnote_10 \h \f">
              <w:r>
                <w:rPr>
                  <w:vertAlign w:val="superscript"/>
                </w:rPr>
                <w:t>10</w:t>
              </w:r>
            </w:fldSimple>
          </w:p>
        </w:tc>
      </w:tr>
      <w:tr>
        <w:tc>
          <w:tcPr/>
          <w:p>
            <w:pPr>
              <w:pStyle w:val="Compact"/>
              <w:jc w:val="left"/>
            </w:pPr>
            <w:r>
              <w:t xml:space="preserve">温湿度控制</w:t>
            </w:r>
          </w:p>
        </w:tc>
        <w:tc>
          <w:tcPr/>
          <w:p>
            <w:pPr>
              <w:pStyle w:val="Compact"/>
              <w:jc w:val="left"/>
            </w:pPr>
            <w:r>
              <w:t xml:space="preserve">符合GSP（药品经营质量管理规范）要求</w:t>
            </w:r>
          </w:p>
        </w:tc>
        <w:tc>
          <w:tcPr/>
          <w:p>
            <w:pPr>
              <w:pStyle w:val="Compact"/>
              <w:jc w:val="left"/>
            </w:pPr>
            <w:r>
              <w:t xml:space="preserve">具备自动监测、调控功能</w:t>
            </w:r>
          </w:p>
        </w:tc>
        <w:tc>
          <w:tcPr/>
          <w:p>
            <w:pPr>
              <w:pStyle w:val="Compact"/>
              <w:jc w:val="left"/>
            </w:pPr>
            <w:r>
              <w:t xml:space="preserve">具备自动监测、调控功能</w:t>
            </w:r>
            <w:r>
              <w:t xml:space="preserve"> </w:t>
            </w:r>
            <w:fldSimple w:instr="NOTEREF _Ref_Footnote_10 \h \f">
              <w:r>
                <w:rPr>
                  <w:vertAlign w:val="superscript"/>
                </w:rPr>
                <w:t>10</w:t>
              </w:r>
            </w:fldSimple>
          </w:p>
        </w:tc>
      </w:tr>
      <w:tr>
        <w:tc>
          <w:tcPr/>
          <w:p>
            <w:pPr>
              <w:pStyle w:val="Compact"/>
              <w:jc w:val="left"/>
            </w:pPr>
            <w:r>
              <w:t xml:space="preserve">系统管理</w:t>
            </w:r>
          </w:p>
        </w:tc>
        <w:tc>
          <w:tcPr/>
          <w:p>
            <w:pPr>
              <w:pStyle w:val="Compact"/>
              <w:jc w:val="left"/>
            </w:pPr>
            <w:r>
              <w:t xml:space="preserve">纳入企业计算机系统统一管理</w:t>
            </w:r>
          </w:p>
        </w:tc>
        <w:tc>
          <w:tcPr/>
          <w:p>
            <w:pPr>
              <w:pStyle w:val="Compact"/>
              <w:jc w:val="left"/>
            </w:pPr>
            <w:r>
              <w:t xml:space="preserve">同上</w:t>
            </w:r>
          </w:p>
        </w:tc>
        <w:tc>
          <w:tcPr/>
          <w:p>
            <w:pPr>
              <w:pStyle w:val="Compact"/>
              <w:jc w:val="left"/>
            </w:pPr>
            <w:r>
              <w:t xml:space="preserve">同上；须在显著位置标示依托企业名称、许可证信息、24小时服务电话、投诉举报电话</w:t>
            </w:r>
            <w:r>
              <w:t xml:space="preserve"> </w:t>
            </w:r>
            <w:fldSimple w:instr="NOTEREF _Ref_Footnote_10 \h \f">
              <w:r>
                <w:rPr>
                  <w:vertAlign w:val="superscript"/>
                </w:rPr>
                <w:t>10</w:t>
              </w:r>
            </w:fldSimple>
          </w:p>
        </w:tc>
      </w:tr>
      <w:tr>
        <w:tc>
          <w:tcPr/>
          <w:p>
            <w:pPr>
              <w:pStyle w:val="Compact"/>
              <w:jc w:val="left"/>
            </w:pPr>
            <w:r>
              <w:t xml:space="preserve">现场管理</w:t>
            </w:r>
          </w:p>
        </w:tc>
        <w:tc>
          <w:tcPr/>
          <w:p>
            <w:pPr>
              <w:pStyle w:val="Compact"/>
              <w:jc w:val="left"/>
            </w:pPr>
            <w:r>
              <w:t xml:space="preserve">常规门店人员管理</w:t>
            </w:r>
          </w:p>
        </w:tc>
        <w:tc>
          <w:tcPr/>
          <w:p>
            <w:pPr>
              <w:pStyle w:val="Compact"/>
              <w:jc w:val="left"/>
            </w:pPr>
            <w:r>
              <w:t xml:space="preserve">纳入企业质量管理体系</w:t>
            </w:r>
          </w:p>
        </w:tc>
        <w:tc>
          <w:tcPr/>
          <w:p>
            <w:pPr>
              <w:pStyle w:val="Compact"/>
              <w:jc w:val="left"/>
            </w:pPr>
            <w:r>
              <w:t xml:space="preserve">专人按GSP要求管理；重点加强药品储存、实名在线诊疗、远程药事服务、智能拣选打包、电子支付和售后管理</w:t>
            </w:r>
            <w:r>
              <w:t xml:space="preserve"> </w:t>
            </w:r>
            <w:fldSimple w:instr="NOTEREF _Ref_Footnote_10 \h \f">
              <w:r>
                <w:rPr>
                  <w:vertAlign w:val="superscript"/>
                </w:rPr>
                <w:t>10</w:t>
              </w:r>
            </w:fldSimple>
          </w:p>
        </w:tc>
      </w:tr>
    </w:tbl>
    <w:p>
      <w:pPr>
        <w:pStyle w:val="BodyText"/>
      </w:pPr>
      <w:r>
        <w:t xml:space="preserve">上表揭示了监管思路从”一刀切”向”分类分级”的演进。药品销售专柜属于传统柜台延伸，监管上将其限定为最安全的乙类OTC。自助售药机实现了完全自动化购买，但缺乏实时药学服务人员在场，国家药监局据此将其上限锁定为乙类OTC。</w:t>
      </w:r>
      <w:fldSimple w:instr="NOTEREF _Ref_Footnote_4 \h \f">
        <w:r>
          <w:rPr>
            <w:vertAlign w:val="superscript"/>
          </w:rPr>
          <w:t>4</w:t>
        </w:r>
      </w:fldSimple>
      <w:r>
        <w:t xml:space="preserve"> </w:t>
      </w:r>
      <w:r>
        <w:t xml:space="preserve">智慧药房（柜）的突破性在于其法律定性更接近”配备远程药学服务的数字化零售终端”——其技术架构要求对接互联网医院、电子处方流转平台和远程审方平台，实质上构成了实体药店在时空维度上的延伸。</w:t>
      </w:r>
      <w:r>
        <w:rPr>
          <w:vertAlign w:val="superscript"/>
        </w:rPr>
        <w:footnoteReference w:id="19"/>
      </w:r>
    </w:p>
    <w:bookmarkEnd w:id="35"/>
    <w:bookmarkStart w:id="36" w:name="智慧药房柜的完整定义"/>
    <w:p>
      <w:pPr>
        <w:pStyle w:val="Heading4"/>
      </w:pPr>
      <w:r>
        <w:t xml:space="preserve">2.1.2 智慧药房（柜）的完整定义</w:t>
      </w:r>
    </w:p>
    <w:p>
      <w:pPr>
        <w:pStyle w:val="FirstParagraph"/>
      </w:pPr>
      <w:r>
        <w:t xml:space="preserve">山西办法附则对智慧药房（柜）给出了目前省级规章中最完整的定义：</w:t>
      </w:r>
      <w:r>
        <w:t xml:space="preserve">“</w:t>
      </w:r>
      <w:r>
        <w:t xml:space="preserve">应用大数据、云计算、物联网等先进的信息技术，对接’互联网+’医院、电子处方流转平台和电子医保系统、远程审方平台，提供线下自动售药、取药以及线上问药、售药、配送服务的零售药店。对药品的请领、储存、调配、核对、发放、使用等流程进行可追溯和精细化管理，为患者提供处方审核、药品核对、用药交待、用药提醒等药学服务。</w:t>
      </w:r>
      <w:r>
        <w:t xml:space="preserve">”</w:t>
      </w:r>
      <w:fldSimple w:instr="NOTEREF _Ref_Footnote_10 \h \f">
        <w:r>
          <w:rPr>
            <w:vertAlign w:val="superscript"/>
          </w:rPr>
          <w:t>10</w:t>
        </w:r>
      </w:fldSimple>
    </w:p>
    <w:p>
      <w:pPr>
        <w:pStyle w:val="BodyText"/>
      </w:pPr>
      <w:r>
        <w:t xml:space="preserve">该定义从技术架构、处方来源、药学服务、运营场景四个维度建立了准入门槛。技术架构维度要求实时数据采集、云端处方处理和全流程追溯能力；处方来源维度要求对接依法批准的互联网医院或实体医疗机构；药学服务维度将执业药师的服务从”现场”延伸至”远程在线”；运营场景维度同时覆盖线下自动售药和线上O2O配送，体现了融合导向。</w:t>
      </w:r>
    </w:p>
    <w:p>
      <w:pPr>
        <w:pStyle w:val="BodyText"/>
      </w:pPr>
      <w:r>
        <w:t xml:space="preserve">与长三角区域地方标准《智慧药房评价体系》（沪苏浙皖2022年联合发布）相比，山西的定义在药学服务环节更为具体，但在技术性能指标（如冷链管理、差错率控制）上尚未细化。</w:t>
      </w:r>
      <w:fldSimple w:instr="NOTEREF _Ref_Footnote_19 \h \f">
        <w:r>
          <w:rPr>
            <w:vertAlign w:val="superscript"/>
          </w:rPr>
          <w:t>19</w:t>
        </w:r>
      </w:fldSimple>
      <w:r>
        <w:t xml:space="preserve"> </w:t>
      </w:r>
      <w:r>
        <w:t xml:space="preserve">智慧药房（柜）在山西省的落地仍需配套出台GSP检查细则，以弥合政策许可与实操标准之间的间隙。</w:t>
      </w:r>
    </w:p>
    <w:bookmarkEnd w:id="36"/>
    <w:bookmarkStart w:id="37" w:name="设置场所与审批要求"/>
    <w:p>
      <w:pPr>
        <w:pStyle w:val="Heading4"/>
      </w:pPr>
      <w:r>
        <w:t xml:space="preserve">2.1.3 设置场所与审批要求</w:t>
      </w:r>
    </w:p>
    <w:p>
      <w:pPr>
        <w:pStyle w:val="FirstParagraph"/>
      </w:pPr>
      <w:r>
        <w:t xml:space="preserve">山西办法第二十三条明确了三类设施的设置场所：机场、车站、景点、院校、商场、超市、街道社区、住宅小区等人口聚集场所。</w:t>
      </w:r>
      <w:fldSimple w:instr="NOTEREF _Ref_Footnote_10 \h \f">
        <w:r>
          <w:rPr>
            <w:vertAlign w:val="superscript"/>
          </w:rPr>
          <w:t>10</w:t>
        </w:r>
      </w:fldSimple>
      <w:r>
        <w:t xml:space="preserve"> </w:t>
      </w:r>
      <w:r>
        <w:t xml:space="preserve">审批程序上，三类设施均采取”母证子项”模式：不独立申请许可证，而是经行政审批部门核准后，将放置地址在《药品经营许可证》</w:t>
      </w:r>
      <w:r>
        <w:t xml:space="preserve">“</w:t>
      </w:r>
      <w:r>
        <w:t xml:space="preserve">经营地址</w:t>
      </w:r>
      <w:r>
        <w:t xml:space="preserve">”</w:t>
      </w:r>
      <w:r>
        <w:t xml:space="preserve">项下注明。</w:t>
      </w:r>
      <w:fldSimple w:instr="NOTEREF _Ref_Footnote_10 \h \f">
        <w:r>
          <w:rPr>
            <w:vertAlign w:val="superscript"/>
          </w:rPr>
          <w:t>10</w:t>
        </w:r>
      </w:fldSimple>
      <w:r>
        <w:t xml:space="preserve"> </w:t>
      </w:r>
      <w:r>
        <w:t xml:space="preserve">这种设计降低了合规成本，同时确保质量管理体系全覆盖——办法要求”药品零售企业质量管理体系应当覆盖药品销售专柜、自助售药机、智慧药房（柜），药品储存、销售管理应当纳入企业计算机系统统一管理”。</w:t>
      </w:r>
      <w:fldSimple w:instr="NOTEREF _Ref_Footnote_10 \h \f">
        <w:r>
          <w:rPr>
            <w:vertAlign w:val="superscript"/>
          </w:rPr>
          <w:t>10</w:t>
        </w:r>
      </w:fldSimple>
    </w:p>
    <w:p>
      <w:pPr>
        <w:pStyle w:val="BodyText"/>
      </w:pPr>
      <w:r>
        <w:rPr>
          <w:b/>
          <w:bCs/>
        </w:rPr>
        <w:t xml:space="preserve">案例：上海浦东”24小时智慧药房”——智慧药房（柜）的先行实践样本</w:t>
      </w:r>
    </w:p>
    <w:p>
      <w:pPr>
        <w:pStyle w:val="BodyText"/>
      </w:pPr>
      <w:r>
        <w:t xml:space="preserve">2023年5月，上海市首个”24小时智慧药房”在华氏大药房高青西路店落地，由华氏大药房与美团买药合作建设，占地约10平方米，内置自动分拣设备、多层货架、自动打包机及自助交接柜，可存储1,000-1,500个SKU、5,000-8,000盒药品。</w:t>
      </w:r>
      <w:r>
        <w:rPr>
          <w:vertAlign w:val="superscript"/>
        </w:rPr>
        <w:footnoteReference w:id="20"/>
      </w:r>
      <w:r>
        <w:t xml:space="preserve"> </w:t>
      </w:r>
      <w:r>
        <w:t xml:space="preserve">与传统100平方米门店可陈列1,800-2,200个SKU相比，智慧药房以十分之一的面积实现了约60%的SKU密度，坪效提升显著。</w:t>
      </w:r>
      <w:fldSimple w:instr="NOTEREF _Ref_Footnote_20 \h \f">
        <w:r>
          <w:rPr>
            <w:vertAlign w:val="superscript"/>
          </w:rPr>
          <w:t>20</w:t>
        </w:r>
      </w:fldSimple>
    </w:p>
    <w:p>
      <w:pPr>
        <w:pStyle w:val="BodyText"/>
      </w:pPr>
      <w:r>
        <w:t xml:space="preserve">该药房打通了互联网诊疗与远程审方功能，支持24小时处方药购买。消费者通过美团APP下单后，系统依次通过库存匹配、传感器分拣、视觉数量识别、视觉内容识别四层安全校验，平均30秒完成自动分拣、打印小票和塑封打包，外卖骑手凭取货码在店外交接柜取药。</w:t>
      </w:r>
      <w:fldSimple w:instr="NOTEREF _Ref_Footnote_20 \h \f">
        <w:r>
          <w:rPr>
            <w:vertAlign w:val="superscript"/>
          </w:rPr>
          <w:t>20</w:t>
        </w:r>
      </w:fldSimple>
    </w:p>
    <w:p>
      <w:pPr>
        <w:pStyle w:val="BodyText"/>
      </w:pPr>
      <w:r>
        <w:t xml:space="preserve">该案例与山西政策的映射关系清晰。上海浦东智慧药房所依赖的”互联网诊疗+远程审方+自动调配”技术架构，正是山西办法对智慧药房（柜）定义的实践原型。区别在于，上海以区级试点形式推进，而山西将其上升为省级规章，赋予符合条件的连锁企业在机场、车站、社区等场景合规部署的法定许可。</w:t>
      </w:r>
      <w:fldSimple w:instr="NOTEREF _Ref_Footnote_19 \h \f">
        <w:r>
          <w:rPr>
            <w:vertAlign w:val="superscript"/>
          </w:rPr>
          <w:t>19</w:t>
        </w:r>
      </w:fldSimple>
      <w:r>
        <w:t xml:space="preserve"> </w:t>
      </w:r>
      <w:r>
        <w:t xml:space="preserve">此外，山西对智慧药房（柜）</w:t>
      </w:r>
      <w:r>
        <w:t xml:space="preserve">“</w:t>
      </w:r>
      <w:r>
        <w:t xml:space="preserve">专人按GSP管理</w:t>
      </w:r>
      <w:r>
        <w:t xml:space="preserve">”</w:t>
      </w:r>
      <w:r>
        <w:t xml:space="preserve">和”显著位置标示许可证信息”的要求，可视为对上海试点经验的制度化补强。</w:t>
      </w:r>
    </w:p>
    <w:p>
      <w:pPr>
        <w:pStyle w:val="BodyText"/>
      </w:pPr>
      <w:r>
        <w:t xml:space="preserve">从商业模式视角审视，该案例揭示了一个关键瓶颈：医保结算。浦东智慧药房目前主要承接自费药品和OTC订单，处方药销售规模受限于电子处方流转量和医保接入程度。</w:t>
      </w:r>
      <w:fldSimple w:instr="NOTEREF _Ref_Footnote_20 \h \f">
        <w:r>
          <w:rPr>
            <w:vertAlign w:val="superscript"/>
          </w:rPr>
          <w:t>20</w:t>
        </w:r>
      </w:fldSimple>
      <w:r>
        <w:t xml:space="preserve"> </w:t>
      </w:r>
      <w:r>
        <w:t xml:space="preserve">山西政策同样仅要求智慧药房（柜）对接”电子医保系统”，未明确结算权限。</w:t>
      </w:r>
      <w:fldSimple w:instr="NOTEREF _Ref_Footnote_10 \h \f">
        <w:r>
          <w:rPr>
            <w:vertAlign w:val="superscript"/>
          </w:rPr>
          <w:t>10</w:t>
        </w:r>
      </w:fldSimple>
      <w:r>
        <w:t xml:space="preserve"> </w:t>
      </w:r>
      <w:r>
        <w:t xml:space="preserve">在门诊统筹和双通道政策持续深化的背景下，智慧药房（柜）能否打通医保结算，将直接决定其从”政策允许”到”商业可行”的转化效率。</w:t>
      </w:r>
    </w:p>
    <w:bookmarkEnd w:id="37"/>
    <w:bookmarkEnd w:id="38"/>
    <w:bookmarkStart w:id="41" w:name="药食同源销售放宽"/>
    <w:p>
      <w:pPr>
        <w:pStyle w:val="Heading3"/>
      </w:pPr>
      <w:r>
        <w:t xml:space="preserve">2.2 药食同源销售放宽</w:t>
      </w:r>
    </w:p>
    <w:bookmarkStart w:id="39" w:name="具体条款与放宽边界"/>
    <w:p>
      <w:pPr>
        <w:pStyle w:val="Heading4"/>
      </w:pPr>
      <w:r>
        <w:t xml:space="preserve">2.2.1 具体条款与放宽边界</w:t>
      </w:r>
    </w:p>
    <w:p>
      <w:pPr>
        <w:pStyle w:val="FirstParagraph"/>
      </w:pPr>
      <w:r>
        <w:t xml:space="preserve">山西办法第三十九条规定：</w:t>
      </w:r>
      <w:r>
        <w:t xml:space="preserve">“</w:t>
      </w:r>
      <w:r>
        <w:t xml:space="preserve">药品零售企业可以不凭处方开架销售非临床配方使用的药食同源单味定型包装中药饮片（不可拆零销售）；仅销售此类产品时可以不配备中药饮片斗柜等陈列设施。</w:t>
      </w:r>
      <w:r>
        <w:t xml:space="preserve">”</w:t>
      </w:r>
      <w:fldSimple w:instr="NOTEREF _Ref_Footnote_10 \h \f">
        <w:r>
          <w:rPr>
            <w:vertAlign w:val="superscript"/>
          </w:rPr>
          <w:t>10</w:t>
        </w:r>
      </w:fldSimple>
      <w:r>
        <w:t xml:space="preserve"> </w:t>
      </w:r>
      <w:r>
        <w:t xml:space="preserve">该条款包含三个关键放宽要素：一是”不凭处方”，解除了传统中药饮片销售必须凭执业医师处方的硬性要求；二是”开架销售”，允许将此类产品置于普通货架而非封闭药斗柜中；三是”可不配备中药饮片斗柜”，显著降低了经营此类产品的硬件门槛和场地要求。</w:t>
      </w:r>
    </w:p>
    <w:p>
      <w:pPr>
        <w:pStyle w:val="BodyText"/>
      </w:pPr>
      <w:r>
        <w:t xml:space="preserve">同时，条款设置了四重安全边界：第一，</w:t>
      </w:r>
      <w:r>
        <w:t xml:space="preserve">“</w:t>
      </w:r>
      <w:r>
        <w:t xml:space="preserve">非临床配方使用</w:t>
      </w:r>
      <w:r>
        <w:t xml:space="preserve">”</w:t>
      </w:r>
      <w:r>
        <w:t xml:space="preserve">的用途限定，排除用于疾病治疗的中药配方场景；第二，</w:t>
      </w:r>
      <w:r>
        <w:t xml:space="preserve">“</w:t>
      </w:r>
      <w:r>
        <w:t xml:space="preserve">单味</w:t>
      </w:r>
      <w:r>
        <w:t xml:space="preserve">”</w:t>
      </w:r>
      <w:r>
        <w:t xml:space="preserve">的品种限定，禁止多味配伍的复方销售；第三，</w:t>
      </w:r>
      <w:r>
        <w:t xml:space="preserve">“</w:t>
      </w:r>
      <w:r>
        <w:t xml:space="preserve">定型包装</w:t>
      </w:r>
      <w:r>
        <w:t xml:space="preserve">”</w:t>
      </w:r>
      <w:r>
        <w:t xml:space="preserve">的形态限定，要求以预包装形式销售，不可拆零；第四，</w:t>
      </w:r>
      <w:r>
        <w:t xml:space="preserve">“</w:t>
      </w:r>
      <w:r>
        <w:t xml:space="preserve">药食同源</w:t>
      </w:r>
      <w:r>
        <w:t xml:space="preserve">”</w:t>
      </w:r>
      <w:r>
        <w:t xml:space="preserve">的目录限定，品种须纳入国家卫生健康委员会《既是食品又是中药材的物质公告》目录。四重边界共同构成”品种+用途+形态+包装”的四维管控体系。</w:t>
      </w:r>
      <w:r>
        <w:rPr>
          <w:vertAlign w:val="superscript"/>
        </w:rPr>
        <w:footnoteReference w:id="21"/>
      </w:r>
    </w:p>
    <w:bookmarkEnd w:id="39"/>
    <w:bookmarkStart w:id="40" w:name="非临床配方使用的限定与用途管理范式转型"/>
    <w:p>
      <w:pPr>
        <w:pStyle w:val="Heading4"/>
      </w:pPr>
      <w:r>
        <w:t xml:space="preserve">2.2.2</w:t>
      </w:r>
      <w:r>
        <w:t xml:space="preserve"> </w:t>
      </w:r>
      <w:r>
        <w:t xml:space="preserve">“</w:t>
      </w:r>
      <w:r>
        <w:t xml:space="preserve">非临床配方使用</w:t>
      </w:r>
      <w:r>
        <w:t xml:space="preserve">”</w:t>
      </w:r>
      <w:r>
        <w:t xml:space="preserve">的限定与用途管理范式转型</w:t>
      </w:r>
    </w:p>
    <w:p>
      <w:pPr>
        <w:pStyle w:val="FirstParagraph"/>
      </w:pPr>
      <w:r>
        <w:t xml:space="preserve">“</w:t>
      </w:r>
      <w:r>
        <w:t xml:space="preserve">非临床配方使用</w:t>
      </w:r>
      <w:r>
        <w:t xml:space="preserve">”</w:t>
      </w:r>
      <w:r>
        <w:t xml:space="preserve">这一表述是山西政策在药食同源监管领域的核心创新。传统监管逻辑遵循”品种管理”范式——一旦某品种被纳入药食同源目录，其管理属性即确定，监管判断依据是”这是什么”。山西引入的”用途”维度则使监管转向”怎么用”：同样是药食同源饮片，用于煲汤、养生等”非临床配方”场景时可开架不凭处方销售；若用于临床配方配药，则仍需处方和药斗柜等管理设施。</w:t>
      </w:r>
      <w:r>
        <w:rPr>
          <w:vertAlign w:val="superscript"/>
        </w:rPr>
        <w:footnoteReference w:id="22"/>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山西省（2026）</w:t>
            </w:r>
          </w:p>
        </w:tc>
        <w:tc>
          <w:tcPr/>
          <w:p>
            <w:pPr>
              <w:pStyle w:val="Compact"/>
              <w:jc w:val="left"/>
            </w:pPr>
            <w:r>
              <w:t xml:space="preserve">山东省（2019）</w:t>
            </w:r>
          </w:p>
        </w:tc>
        <w:tc>
          <w:tcPr/>
          <w:p>
            <w:pPr>
              <w:pStyle w:val="Compact"/>
              <w:jc w:val="left"/>
            </w:pPr>
            <w:r>
              <w:t xml:space="preserve">江西省（2025，征求意见稿）</w:t>
            </w:r>
          </w:p>
        </w:tc>
        <w:tc>
          <w:tcPr/>
          <w:p>
            <w:pPr>
              <w:pStyle w:val="Compact"/>
              <w:jc w:val="left"/>
            </w:pPr>
            <w:r>
              <w:t xml:space="preserve">陕西省商洛市（2025）</w:t>
            </w:r>
          </w:p>
        </w:tc>
      </w:tr>
      <w:tr>
        <w:tc>
          <w:tcPr/>
          <w:p>
            <w:pPr>
              <w:pStyle w:val="Compact"/>
              <w:jc w:val="left"/>
            </w:pPr>
            <w:r>
              <w:t xml:space="preserve">政策文件</w:t>
            </w:r>
          </w:p>
        </w:tc>
        <w:tc>
          <w:tcPr/>
          <w:p>
            <w:pPr>
              <w:pStyle w:val="Compact"/>
              <w:jc w:val="left"/>
            </w:pPr>
            <w:r>
              <w:t xml:space="preserve">《药品零售经营监督管理办法》</w:t>
            </w:r>
          </w:p>
        </w:tc>
        <w:tc>
          <w:tcPr/>
          <w:p>
            <w:pPr>
              <w:pStyle w:val="Compact"/>
              <w:jc w:val="left"/>
            </w:pPr>
            <w:r>
              <w:t xml:space="preserve">分级分类管理办法</w:t>
            </w:r>
          </w:p>
        </w:tc>
        <w:tc>
          <w:tcPr/>
          <w:p>
            <w:pPr>
              <w:pStyle w:val="Compact"/>
              <w:jc w:val="left"/>
            </w:pPr>
            <w:r>
              <w:t xml:space="preserve">许可验收实施标准</w:t>
            </w:r>
          </w:p>
        </w:tc>
        <w:tc>
          <w:tcPr/>
          <w:p>
            <w:pPr>
              <w:pStyle w:val="Compact"/>
              <w:jc w:val="left"/>
            </w:pPr>
            <w:r>
              <w:t xml:space="preserve">市场监管局通知</w:t>
            </w:r>
          </w:p>
        </w:tc>
      </w:tr>
      <w:tr>
        <w:tc>
          <w:tcPr/>
          <w:p>
            <w:pPr>
              <w:pStyle w:val="Compact"/>
              <w:jc w:val="left"/>
            </w:pPr>
            <w:r>
              <w:t xml:space="preserve">可售品种</w:t>
            </w:r>
          </w:p>
        </w:tc>
        <w:tc>
          <w:tcPr/>
          <w:p>
            <w:pPr>
              <w:pStyle w:val="Compact"/>
              <w:jc w:val="left"/>
            </w:pPr>
            <w:r>
              <w:t xml:space="preserve">非临床配方使用的药食同源单味定型包装中药饮片</w:t>
            </w:r>
          </w:p>
        </w:tc>
        <w:tc>
          <w:tcPr/>
          <w:p>
            <w:pPr>
              <w:pStyle w:val="Compact"/>
              <w:jc w:val="left"/>
            </w:pPr>
            <w:r>
              <w:t xml:space="preserve">药食同源类或可用于保健食品的精制包装中药饮片</w:t>
            </w:r>
          </w:p>
        </w:tc>
        <w:tc>
          <w:tcPr/>
          <w:p>
            <w:pPr>
              <w:pStyle w:val="Compact"/>
              <w:jc w:val="left"/>
            </w:pPr>
            <w:r>
              <w:t xml:space="preserve">食药同源类精致单味包装中药饮片</w:t>
            </w:r>
          </w:p>
        </w:tc>
        <w:tc>
          <w:tcPr/>
          <w:p>
            <w:pPr>
              <w:pStyle w:val="Compact"/>
              <w:jc w:val="left"/>
            </w:pPr>
            <w:r>
              <w:t xml:space="preserve">药食同源定型包装中药饮片</w:t>
            </w:r>
          </w:p>
        </w:tc>
      </w:tr>
      <w:tr>
        <w:tc>
          <w:tcPr/>
          <w:p>
            <w:pPr>
              <w:pStyle w:val="Compact"/>
              <w:jc w:val="left"/>
            </w:pPr>
            <w:r>
              <w:t xml:space="preserve">处方要求</w:t>
            </w:r>
          </w:p>
        </w:tc>
        <w:tc>
          <w:tcPr/>
          <w:p>
            <w:pPr>
              <w:pStyle w:val="Compact"/>
              <w:jc w:val="left"/>
            </w:pPr>
            <w:r>
              <w:t xml:space="preserve">不凭处方，开架销售</w:t>
            </w:r>
            <w:r>
              <w:t xml:space="preserve"> </w:t>
            </w:r>
            <w:fldSimple w:instr="NOTEREF _Ref_Footnote_10 \h \f">
              <w:r>
                <w:rPr>
                  <w:vertAlign w:val="superscript"/>
                </w:rPr>
                <w:t>10</w:t>
              </w:r>
            </w:fldSimple>
          </w:p>
        </w:tc>
        <w:tc>
          <w:tcPr/>
          <w:p>
            <w:pPr>
              <w:pStyle w:val="Compact"/>
              <w:jc w:val="left"/>
            </w:pPr>
            <w:r>
              <w:t xml:space="preserve">不凭处方</w:t>
            </w:r>
            <w:r>
              <w:t xml:space="preserve"> </w:t>
            </w:r>
            <w:r>
              <w:rPr>
                <w:vertAlign w:val="superscript"/>
              </w:rPr>
              <w:footnoteReference w:id="23"/>
            </w:r>
          </w:p>
        </w:tc>
        <w:tc>
          <w:tcPr/>
          <w:p>
            <w:pPr>
              <w:pStyle w:val="Compact"/>
              <w:jc w:val="left"/>
            </w:pPr>
            <w:r>
              <w:t xml:space="preserve">不涉及处方调配即可</w:t>
            </w:r>
            <w:r>
              <w:t xml:space="preserve"> </w:t>
            </w:r>
            <w:r>
              <w:rPr>
                <w:vertAlign w:val="superscript"/>
              </w:rPr>
              <w:footnoteReference w:id="24"/>
            </w:r>
          </w:p>
        </w:tc>
        <w:tc>
          <w:tcPr/>
          <w:p>
            <w:pPr>
              <w:pStyle w:val="Compact"/>
              <w:jc w:val="left"/>
            </w:pPr>
            <w:r>
              <w:t xml:space="preserve">不凭处方</w:t>
            </w:r>
            <w:r>
              <w:t xml:space="preserve"> </w:t>
            </w:r>
            <w:r>
              <w:rPr>
                <w:vertAlign w:val="superscript"/>
              </w:rPr>
              <w:footnoteReference w:id="25"/>
            </w:r>
          </w:p>
        </w:tc>
      </w:tr>
      <w:tr>
        <w:tc>
          <w:tcPr/>
          <w:p>
            <w:pPr>
              <w:pStyle w:val="Compact"/>
              <w:jc w:val="left"/>
            </w:pPr>
            <w:r>
              <w:t xml:space="preserve">拆零限制</w:t>
            </w:r>
          </w:p>
        </w:tc>
        <w:tc>
          <w:tcPr/>
          <w:p>
            <w:pPr>
              <w:pStyle w:val="Compact"/>
              <w:jc w:val="left"/>
            </w:pPr>
            <w:r>
              <w:t xml:space="preserve">不可拆零</w:t>
            </w:r>
            <w:r>
              <w:t xml:space="preserve"> </w:t>
            </w:r>
            <w:fldSimple w:instr="NOTEREF _Ref_Footnote_10 \h \f">
              <w:r>
                <w:rPr>
                  <w:vertAlign w:val="superscript"/>
                </w:rPr>
                <w:t>10</w:t>
              </w:r>
            </w:fldSimple>
          </w:p>
        </w:tc>
        <w:tc>
          <w:tcPr/>
          <w:p>
            <w:pPr>
              <w:pStyle w:val="Compact"/>
              <w:jc w:val="left"/>
            </w:pPr>
            <w:r>
              <w:t xml:space="preserve">不拆零销售</w:t>
            </w:r>
            <w:r>
              <w:t xml:space="preserve"> </w:t>
            </w:r>
            <w:fldSimple w:instr="NOTEREF _Ref_Footnote_23 \h \f">
              <w:r>
                <w:rPr>
                  <w:vertAlign w:val="superscript"/>
                </w:rPr>
                <w:t>23</w:t>
              </w:r>
            </w:fldSimple>
          </w:p>
        </w:tc>
        <w:tc>
          <w:tcPr/>
          <w:p>
            <w:pPr>
              <w:pStyle w:val="Compact"/>
              <w:jc w:val="left"/>
            </w:pPr>
            <w:r>
              <w:t xml:space="preserve">未明确</w:t>
            </w:r>
          </w:p>
        </w:tc>
        <w:tc>
          <w:tcPr/>
          <w:p>
            <w:pPr>
              <w:pStyle w:val="Compact"/>
              <w:jc w:val="left"/>
            </w:pPr>
            <w:r>
              <w:t xml:space="preserve">不得拆零销售</w:t>
            </w:r>
            <w:r>
              <w:t xml:space="preserve"> </w:t>
            </w:r>
            <w:fldSimple w:instr="NOTEREF _Ref_Footnote_25 \h \f">
              <w:r>
                <w:rPr>
                  <w:vertAlign w:val="superscript"/>
                </w:rPr>
                <w:t>25</w:t>
              </w:r>
            </w:fldSimple>
          </w:p>
        </w:tc>
      </w:tr>
      <w:tr>
        <w:tc>
          <w:tcPr/>
          <w:p>
            <w:pPr>
              <w:pStyle w:val="Compact"/>
              <w:jc w:val="left"/>
            </w:pPr>
            <w:r>
              <w:t xml:space="preserve">药斗/药柜要求</w:t>
            </w:r>
          </w:p>
        </w:tc>
        <w:tc>
          <w:tcPr/>
          <w:p>
            <w:pPr>
              <w:pStyle w:val="Compact"/>
              <w:jc w:val="left"/>
            </w:pPr>
            <w:r>
              <w:t xml:space="preserve">可不配备</w:t>
            </w:r>
            <w:r>
              <w:t xml:space="preserve"> </w:t>
            </w:r>
            <w:fldSimple w:instr="NOTEREF _Ref_Footnote_10 \h \f">
              <w:r>
                <w:rPr>
                  <w:vertAlign w:val="superscript"/>
                </w:rPr>
                <w:t>10</w:t>
              </w:r>
            </w:fldSimple>
          </w:p>
        </w:tc>
        <w:tc>
          <w:tcPr/>
          <w:p>
            <w:pPr>
              <w:pStyle w:val="Compact"/>
              <w:jc w:val="left"/>
            </w:pPr>
            <w:r>
              <w:t xml:space="preserve">可不配备</w:t>
            </w:r>
            <w:r>
              <w:t xml:space="preserve"> </w:t>
            </w:r>
            <w:fldSimple w:instr="NOTEREF _Ref_Footnote_23 \h \f">
              <w:r>
                <w:rPr>
                  <w:vertAlign w:val="superscript"/>
                </w:rPr>
                <w:t>23</w:t>
              </w:r>
            </w:fldSimple>
          </w:p>
        </w:tc>
        <w:tc>
          <w:tcPr/>
          <w:p>
            <w:pPr>
              <w:pStyle w:val="Compact"/>
              <w:jc w:val="left"/>
            </w:pPr>
            <w:r>
              <w:t xml:space="preserve">可暂不配备</w:t>
            </w:r>
            <w:r>
              <w:t xml:space="preserve"> </w:t>
            </w:r>
            <w:fldSimple w:instr="NOTEREF _Ref_Footnote_24 \h \f">
              <w:r>
                <w:rPr>
                  <w:vertAlign w:val="superscript"/>
                </w:rPr>
                <w:t>24</w:t>
              </w:r>
            </w:fldSimple>
          </w:p>
        </w:tc>
        <w:tc>
          <w:tcPr/>
          <w:p>
            <w:pPr>
              <w:pStyle w:val="Compact"/>
              <w:jc w:val="left"/>
            </w:pPr>
            <w:r>
              <w:t xml:space="preserve">不需要配备</w:t>
            </w:r>
            <w:r>
              <w:t xml:space="preserve"> </w:t>
            </w:r>
            <w:fldSimple w:instr="NOTEREF _Ref_Footnote_25 \h \f">
              <w:r>
                <w:rPr>
                  <w:vertAlign w:val="superscript"/>
                </w:rPr>
                <w:t>25</w:t>
              </w:r>
            </w:fldSimple>
          </w:p>
        </w:tc>
      </w:tr>
      <w:tr>
        <w:tc>
          <w:tcPr/>
          <w:p>
            <w:pPr>
              <w:pStyle w:val="Compact"/>
              <w:jc w:val="left"/>
            </w:pPr>
            <w:r>
              <w:t xml:space="preserve">执业药师要求</w:t>
            </w:r>
          </w:p>
        </w:tc>
        <w:tc>
          <w:tcPr/>
          <w:p>
            <w:pPr>
              <w:pStyle w:val="Compact"/>
              <w:jc w:val="left"/>
            </w:pPr>
            <w:r>
              <w:t xml:space="preserve">未明确豁免</w:t>
            </w:r>
          </w:p>
        </w:tc>
        <w:tc>
          <w:tcPr/>
          <w:p>
            <w:pPr>
              <w:pStyle w:val="Compact"/>
              <w:jc w:val="left"/>
            </w:pPr>
            <w:r>
              <w:t xml:space="preserve">可不配备中药师</w:t>
            </w:r>
            <w:r>
              <w:t xml:space="preserve"> </w:t>
            </w:r>
            <w:fldSimple w:instr="NOTEREF _Ref_Footnote_23 \h \f">
              <w:r>
                <w:rPr>
                  <w:vertAlign w:val="superscript"/>
                </w:rPr>
                <w:t>23</w:t>
              </w:r>
            </w:fldSimple>
          </w:p>
        </w:tc>
        <w:tc>
          <w:tcPr/>
          <w:p>
            <w:pPr>
              <w:pStyle w:val="Compact"/>
              <w:jc w:val="left"/>
            </w:pPr>
            <w:r>
              <w:t xml:space="preserve">可暂不配备执业中药师，需配备中药学技术人员</w:t>
            </w:r>
            <w:r>
              <w:t xml:space="preserve"> </w:t>
            </w:r>
            <w:fldSimple w:instr="NOTEREF _Ref_Footnote_24 \h \f">
              <w:r>
                <w:rPr>
                  <w:vertAlign w:val="superscript"/>
                </w:rPr>
                <w:t>24</w:t>
              </w:r>
            </w:fldSimple>
          </w:p>
        </w:tc>
        <w:tc>
          <w:tcPr/>
          <w:p>
            <w:pPr>
              <w:pStyle w:val="Compact"/>
              <w:jc w:val="left"/>
            </w:pPr>
            <w:r>
              <w:t xml:space="preserve">可不配备执业中药师</w:t>
            </w:r>
            <w:r>
              <w:t xml:space="preserve"> </w:t>
            </w:r>
            <w:fldSimple w:instr="NOTEREF _Ref_Footnote_25 \h \f">
              <w:r>
                <w:rPr>
                  <w:vertAlign w:val="superscript"/>
                </w:rPr>
                <w:t>25</w:t>
              </w:r>
            </w:fldSimple>
          </w:p>
        </w:tc>
      </w:tr>
      <w:tr>
        <w:tc>
          <w:tcPr/>
          <w:p>
            <w:pPr>
              <w:pStyle w:val="Compact"/>
              <w:jc w:val="left"/>
            </w:pPr>
            <w:r>
              <w:t xml:space="preserve">监管层级</w:t>
            </w:r>
          </w:p>
        </w:tc>
        <w:tc>
          <w:tcPr/>
          <w:p>
            <w:pPr>
              <w:pStyle w:val="Compact"/>
              <w:jc w:val="left"/>
            </w:pPr>
            <w:r>
              <w:t xml:space="preserve">省级规章</w:t>
            </w:r>
          </w:p>
        </w:tc>
        <w:tc>
          <w:tcPr/>
          <w:p>
            <w:pPr>
              <w:pStyle w:val="Compact"/>
              <w:jc w:val="left"/>
            </w:pPr>
            <w:r>
              <w:t xml:space="preserve">省级</w:t>
            </w:r>
          </w:p>
        </w:tc>
        <w:tc>
          <w:tcPr/>
          <w:p>
            <w:pPr>
              <w:pStyle w:val="Compact"/>
              <w:jc w:val="left"/>
            </w:pPr>
            <w:r>
              <w:t xml:space="preserve">省级（征求意见稿）</w:t>
            </w:r>
          </w:p>
        </w:tc>
        <w:tc>
          <w:tcPr/>
          <w:p>
            <w:pPr>
              <w:pStyle w:val="Compact"/>
              <w:jc w:val="left"/>
            </w:pPr>
            <w:r>
              <w:t xml:space="preserve">市级</w:t>
            </w:r>
          </w:p>
        </w:tc>
      </w:tr>
    </w:tbl>
    <w:p>
      <w:pPr>
        <w:pStyle w:val="BodyText"/>
      </w:pPr>
      <w:r>
        <w:t xml:space="preserve">上表显示，药食同源销售放宽并非山西独有，山东、江西、陕西商洛等地均进行了类似探索。但山西将其写入省级规章，使政策适用范围覆盖全省且具有制度稳定性，而其他地区或停留在市级通知层面，或仍以征求意见稿形式存在。</w:t>
      </w:r>
      <w:fldSimple w:instr="NOTEREF _Ref_Footnote_21 \h \f">
        <w:r>
          <w:rPr>
            <w:vertAlign w:val="superscript"/>
          </w:rPr>
          <w:t>21</w:t>
        </w:r>
      </w:fldSimple>
      <w:r>
        <w:t xml:space="preserve"> </w:t>
      </w:r>
      <w:r>
        <w:t xml:space="preserve">这种政策扩散路径表明，药食同源便利化已成为地方药监部门优化营商环境的共同方向，但监管精细程度存在差异——山西的”非临床配方使用”限定在地方立法中尚属首次出现，代表了从”品种管理”向”用途管理”的范式转型。</w:t>
      </w:r>
    </w:p>
    <w:p>
      <w:pPr>
        <w:pStyle w:val="BodyText"/>
      </w:pPr>
      <w:r>
        <w:t xml:space="preserve">从执法可操作性角度审视，</w:t>
      </w:r>
      <w:r>
        <w:t xml:space="preserve">“</w:t>
      </w:r>
      <w:r>
        <w:t xml:space="preserve">非临床配方使用</w:t>
      </w:r>
      <w:r>
        <w:t xml:space="preserve">”</w:t>
      </w:r>
      <w:r>
        <w:t xml:space="preserve">的界定标准尚缺乏配套细则。消费者购买的药食同源饮片是否用于”临床配方”，取决于其主观使用意图，监管部门在事后检查中难以判定。这种模糊性可能带来两种风险：一是消费者自行配伍用于疾病治疗，规避处方监管；二是部分药店以”药食同源”名义销售超出目录范围的饮片。山西药食同源政策的长期效果，取决于后续是否会出台”非临床配方使用”的正面清单或标签标识规范。</w:t>
      </w:r>
      <w:fldSimple w:instr="NOTEREF _Ref_Footnote_21 \h \f">
        <w:r>
          <w:rPr>
            <w:vertAlign w:val="superscript"/>
          </w:rPr>
          <w:t>21</w:t>
        </w:r>
      </w:fldSimple>
    </w:p>
    <w:bookmarkEnd w:id="40"/>
    <w:bookmarkEnd w:id="41"/>
    <w:bookmarkStart w:id="46" w:name="连锁经营与经营管理"/>
    <w:p>
      <w:pPr>
        <w:pStyle w:val="Heading3"/>
      </w:pPr>
      <w:r>
        <w:t xml:space="preserve">2.3 连锁经营与经营管理</w:t>
      </w:r>
    </w:p>
    <w:bookmarkStart w:id="44" w:name="连锁门槛配送中心与七统一管理"/>
    <w:p>
      <w:pPr>
        <w:pStyle w:val="Heading4"/>
      </w:pPr>
      <w:r>
        <w:t xml:space="preserve">2.3.1 连锁门槛、配送中心与”七统一”管理</w:t>
      </w:r>
    </w:p>
    <w:p>
      <w:pPr>
        <w:pStyle w:val="FirstParagraph"/>
      </w:pPr>
      <w:r>
        <w:t xml:space="preserve">山西省药品零售连锁率长期偏低。截至2023年底，全省连锁率仅44.68%，较同期全国平均水平57.81%低约13个百分点，距商务部《</w:t>
      </w:r>
      <w:r>
        <w:t xml:space="preserve">“</w:t>
      </w:r>
      <w:r>
        <w:t xml:space="preserve">十四五</w:t>
      </w:r>
      <w:r>
        <w:t xml:space="preserve">”</w:t>
      </w:r>
      <w:r>
        <w:t xml:space="preserve">时期促进药品流通行业高质量发展的指导意见》提出的”2025年药品零售连锁率接近70%“目标差距超过25个百分点。</w:t>
      </w:r>
      <w:fldSimple w:instr="NOTEREF _Ref_Footnote_18 \h \f">
        <w:r>
          <w:rPr>
            <w:vertAlign w:val="superscript"/>
          </w:rPr>
          <w:t>18</w:t>
        </w:r>
      </w:fldSimple>
      <w:r>
        <w:t xml:space="preserve"> </w:t>
      </w:r>
      <w:r>
        <w:t xml:space="preserve">这一结构性短板是山西办法提高连锁准入门槛、强化集约化监管的核心驱动力。</w:t>
      </w:r>
    </w:p>
    <w:p>
      <w:pPr>
        <w:pStyle w:val="CaptionedFigure"/>
      </w:pPr>
      <w:r>
        <w:drawing>
          <wp:inline>
            <wp:extent cx="5334000" cy="3158146"/>
            <wp:effectExtent b="0" l="0" r="0" t="0"/>
            <wp:docPr descr="2024年全国及代表性省份药品零售连锁率对比" title="" id="42" name="Picture"/>
            <a:graphic>
              <a:graphicData uri="http://schemas.openxmlformats.org/drawingml/2006/picture">
                <pic:pic>
                  <pic:nvPicPr>
                    <pic:cNvPr descr="chain_rate_comparison.png" id="43" name="Picture"/>
                    <pic:cNvPicPr>
                      <a:picLocks noChangeArrowheads="1" noChangeAspect="1"/>
                    </pic:cNvPicPr>
                  </pic:nvPicPr>
                  <pic:blipFill>
                    <a:blip r:embed="rId28"/>
                    <a:stretch>
                      <a:fillRect/>
                    </a:stretch>
                  </pic:blipFill>
                  <pic:spPr bwMode="auto">
                    <a:xfrm>
                      <a:off x="0" y="0"/>
                      <a:ext cx="5334000" cy="3158146"/>
                    </a:xfrm>
                    <a:prstGeom prst="rect">
                      <a:avLst/>
                    </a:prstGeom>
                    <a:noFill/>
                    <a:ln w="9525">
                      <a:noFill/>
                      <a:headEnd/>
                      <a:tailEnd/>
                    </a:ln>
                  </pic:spPr>
                </pic:pic>
              </a:graphicData>
            </a:graphic>
          </wp:inline>
        </w:drawing>
      </w:r>
    </w:p>
    <w:p>
      <w:pPr>
        <w:pStyle w:val="ImageCaption"/>
      </w:pPr>
      <w:r>
        <w:t xml:space="preserve">2024年全国及代表性省份药品零售连锁率对比</w:t>
      </w:r>
    </w:p>
    <w:p>
      <w:pPr>
        <w:pStyle w:val="BodyText"/>
      </w:pPr>
      <w:r>
        <w:t xml:space="preserve">上图显示，山西连锁率不仅远低于上海（92.9%）和四川（85.1%）等领先省份，也显著低于57.04%的全国平均水平（2024年数据）。</w:t>
      </w:r>
      <w:r>
        <w:rPr>
          <w:vertAlign w:val="superscript"/>
        </w:rPr>
        <w:footnoteReference w:id="26"/>
      </w:r>
      <w:r>
        <w:t xml:space="preserve"> </w:t>
      </w:r>
      <w:r>
        <w:t xml:space="preserve">2024年全国连锁率甚至出现了57.04%的轻微下降，单体药店增长速度快于连锁门店，行业整合压力加剧。</w:t>
      </w:r>
      <w:fldSimple w:instr="NOTEREF _Ref_Footnote_26 \h \f">
        <w:r>
          <w:rPr>
            <w:vertAlign w:val="superscript"/>
          </w:rPr>
          <w:t>26</w:t>
        </w:r>
      </w:fldSimple>
      <w:r>
        <w:t xml:space="preserve"> </w:t>
      </w:r>
      <w:r>
        <w:t xml:space="preserve">在此背景下，山西通过面积差异、门槛提升和变更便利化三条政策杠杆，构建了”倒逼整合+降低摩擦”的组合机制。</w:t>
      </w:r>
    </w:p>
    <w:tbl>
      <w:tblPr>
        <w:tblStyle w:val="Table"/>
        <w:tblW w:type="pct" w:w="5000"/>
        <w:jc w:val="start"/>
        <w:tblLayout w:type="fixed"/>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核心条款</w:t>
            </w:r>
          </w:p>
        </w:tc>
        <w:tc>
          <w:tcPr/>
          <w:p>
            <w:pPr>
              <w:pStyle w:val="Compact"/>
              <w:jc w:val="left"/>
            </w:pPr>
            <w:r>
              <w:t xml:space="preserve">山西省具体要求</w:t>
            </w:r>
          </w:p>
        </w:tc>
        <w:tc>
          <w:tcPr/>
          <w:p>
            <w:pPr>
              <w:pStyle w:val="Compact"/>
              <w:jc w:val="left"/>
            </w:pPr>
            <w:r>
              <w:t xml:space="preserve">政策依据</w:t>
            </w:r>
          </w:p>
        </w:tc>
        <w:tc>
          <w:tcPr/>
          <w:p>
            <w:pPr>
              <w:pStyle w:val="Compact"/>
              <w:jc w:val="left"/>
            </w:pPr>
            <w:r>
              <w:t xml:space="preserve">与全国对比</w:t>
            </w:r>
          </w:p>
        </w:tc>
      </w:tr>
      <w:tr>
        <w:tc>
          <w:tcPr/>
          <w:p>
            <w:pPr>
              <w:pStyle w:val="Compact"/>
              <w:jc w:val="left"/>
            </w:pPr>
            <w:r>
              <w:t xml:space="preserve">连锁准入门槛</w:t>
            </w:r>
          </w:p>
        </w:tc>
        <w:tc>
          <w:tcPr/>
          <w:p>
            <w:pPr>
              <w:pStyle w:val="Compact"/>
              <w:jc w:val="left"/>
            </w:pPr>
            <w:r>
              <w:t xml:space="preserve">新开办不少于10家门店并须持续保持；许可证届满不达标不予重新发证，有效期内不达标撤销许可证</w:t>
            </w:r>
          </w:p>
        </w:tc>
        <w:tc>
          <w:tcPr/>
          <w:p>
            <w:pPr>
              <w:pStyle w:val="Compact"/>
              <w:jc w:val="left"/>
            </w:pPr>
            <w:r>
              <w:t xml:space="preserve">第六条、第二十六条</w:t>
            </w:r>
          </w:p>
        </w:tc>
        <w:tc>
          <w:tcPr/>
          <w:p>
            <w:pPr>
              <w:pStyle w:val="Compact"/>
              <w:jc w:val="left"/>
            </w:pPr>
            <w:r>
              <w:t xml:space="preserve">与广东、北京、四川、湖北、浙江金华一致；高于江西（5家）、河北保定（6家）</w:t>
            </w:r>
            <w:r>
              <w:t xml:space="preserve"> </w:t>
            </w:r>
            <w:r>
              <w:rPr>
                <w:vertAlign w:val="superscript"/>
              </w:rPr>
              <w:footnoteReference w:id="27"/>
            </w:r>
          </w:p>
        </w:tc>
      </w:tr>
      <w:tr>
        <w:tc>
          <w:tcPr/>
          <w:p>
            <w:pPr>
              <w:pStyle w:val="Compact"/>
              <w:jc w:val="left"/>
            </w:pPr>
            <w:r>
              <w:t xml:space="preserve">经营面积</w:t>
            </w:r>
          </w:p>
        </w:tc>
        <w:tc>
          <w:tcPr/>
          <w:p>
            <w:pPr>
              <w:pStyle w:val="Compact"/>
              <w:jc w:val="left"/>
            </w:pPr>
            <w:r>
              <w:t xml:space="preserve">单体药店≥70㎡；连锁门店/农村乡镇≥40㎡；仅乙类OTC≥20㎡</w:t>
            </w:r>
          </w:p>
        </w:tc>
        <w:tc>
          <w:tcPr/>
          <w:p>
            <w:pPr>
              <w:pStyle w:val="Compact"/>
              <w:jc w:val="left"/>
            </w:pPr>
            <w:r>
              <w:t xml:space="preserve">第八条</w:t>
            </w:r>
          </w:p>
        </w:tc>
        <w:tc>
          <w:tcPr/>
          <w:p>
            <w:pPr>
              <w:pStyle w:val="Compact"/>
              <w:jc w:val="left"/>
            </w:pPr>
            <w:r>
              <w:t xml:space="preserve">单体70㎡与北京市持平；高于浙江（40㎡）、江西（40㎡）</w:t>
            </w:r>
            <w:r>
              <w:t xml:space="preserve"> </w:t>
            </w:r>
            <w:fldSimple w:instr="NOTEREF _Ref_Footnote_18 \h \f">
              <w:r>
                <w:rPr>
                  <w:vertAlign w:val="superscript"/>
                </w:rPr>
                <w:t>18</w:t>
              </w:r>
            </w:fldSimple>
          </w:p>
        </w:tc>
      </w:tr>
      <w:tr>
        <w:tc>
          <w:tcPr/>
          <w:p>
            <w:pPr>
              <w:pStyle w:val="Compact"/>
              <w:jc w:val="left"/>
            </w:pPr>
            <w:r>
              <w:t xml:space="preserve">配送中心</w:t>
            </w:r>
          </w:p>
        </w:tc>
        <w:tc>
          <w:tcPr/>
          <w:p>
            <w:pPr>
              <w:pStyle w:val="Compact"/>
              <w:jc w:val="left"/>
            </w:pPr>
            <w:r>
              <w:t xml:space="preserve">使用面积≥500㎡；允许连锁总部跨省设置</w:t>
            </w:r>
          </w:p>
        </w:tc>
        <w:tc>
          <w:tcPr/>
          <w:p>
            <w:pPr>
              <w:pStyle w:val="Compact"/>
              <w:jc w:val="left"/>
            </w:pPr>
            <w:r>
              <w:t xml:space="preserve">第二十四条</w:t>
            </w:r>
          </w:p>
        </w:tc>
        <w:tc>
          <w:tcPr/>
          <w:p>
            <w:pPr>
              <w:pStyle w:val="Compact"/>
              <w:jc w:val="left"/>
            </w:pPr>
            <w:r>
              <w:t xml:space="preserve">与48号公告跨省设库条款衔接；与海南批零一体化形成协同</w:t>
            </w:r>
            <w:r>
              <w:t xml:space="preserve"> </w:t>
            </w:r>
            <w:fldSimple w:instr="NOTEREF _Ref_Footnote_4 \h \f">
              <w:r>
                <w:rPr>
                  <w:vertAlign w:val="superscript"/>
                </w:rPr>
                <w:t>4</w:t>
              </w:r>
            </w:fldSimple>
          </w:p>
        </w:tc>
      </w:tr>
      <w:tr>
        <w:tc>
          <w:tcPr/>
          <w:p>
            <w:pPr>
              <w:pStyle w:val="Compact"/>
              <w:jc w:val="left"/>
            </w:pPr>
            <w:r>
              <w:t xml:space="preserve">七统一管理</w:t>
            </w:r>
          </w:p>
        </w:tc>
        <w:tc>
          <w:tcPr/>
          <w:p>
            <w:pPr>
              <w:pStyle w:val="Compact"/>
              <w:jc w:val="left"/>
            </w:pPr>
            <w:r>
              <w:t xml:space="preserve">统一企业标识、规章制度、计算机系统、人员培训、采购配送、票据管理、药学服务标准规范</w:t>
            </w:r>
          </w:p>
        </w:tc>
        <w:tc>
          <w:tcPr/>
          <w:p>
            <w:pPr>
              <w:pStyle w:val="Compact"/>
              <w:jc w:val="left"/>
            </w:pPr>
            <w:r>
              <w:t xml:space="preserve">第三十三条</w:t>
            </w:r>
          </w:p>
        </w:tc>
        <w:tc>
          <w:tcPr/>
          <w:p>
            <w:pPr>
              <w:pStyle w:val="Compact"/>
              <w:jc w:val="left"/>
            </w:pPr>
            <w:r>
              <w:t xml:space="preserve">与山东”七统一”一致；云南、青海实行”八统一”（增加财务管理、服务承诺）</w:t>
            </w:r>
            <w:r>
              <w:t xml:space="preserve"> </w:t>
            </w:r>
            <w:fldSimple w:instr="NOTEREF _Ref_Footnote_27 \h \f">
              <w:r>
                <w:rPr>
                  <w:vertAlign w:val="superscript"/>
                </w:rPr>
                <w:t>27</w:t>
              </w:r>
            </w:fldSimple>
          </w:p>
        </w:tc>
      </w:tr>
      <w:tr>
        <w:tc>
          <w:tcPr/>
          <w:p>
            <w:pPr>
              <w:pStyle w:val="Compact"/>
              <w:jc w:val="left"/>
            </w:pPr>
            <w:r>
              <w:t xml:space="preserve">乙类OTC告知承诺制</w:t>
            </w:r>
          </w:p>
        </w:tc>
        <w:tc>
          <w:tcPr/>
          <w:p>
            <w:pPr>
              <w:pStyle w:val="Compact"/>
              <w:jc w:val="left"/>
            </w:pPr>
            <w:r>
              <w:t xml:space="preserve">县级审批，当日发证，3个月内事后核查</w:t>
            </w:r>
          </w:p>
        </w:tc>
        <w:tc>
          <w:tcPr/>
          <w:p>
            <w:pPr>
              <w:pStyle w:val="Compact"/>
              <w:jc w:val="left"/>
            </w:pPr>
            <w:r>
              <w:t xml:space="preserve">第二十条</w:t>
            </w:r>
          </w:p>
        </w:tc>
        <w:tc>
          <w:tcPr/>
          <w:p>
            <w:pPr>
              <w:pStyle w:val="Compact"/>
              <w:jc w:val="left"/>
            </w:pPr>
            <w:r>
              <w:t xml:space="preserve">与总局令第84号第十一条衔接</w:t>
            </w:r>
            <w:r>
              <w:t xml:space="preserve"> </w:t>
            </w:r>
            <w:fldSimple w:instr="NOTEREF _Ref_Footnote_18 \h \f">
              <w:r>
                <w:rPr>
                  <w:vertAlign w:val="superscript"/>
                </w:rPr>
                <w:t>18</w:t>
              </w:r>
            </w:fldSimple>
          </w:p>
        </w:tc>
      </w:tr>
      <w:tr>
        <w:tc>
          <w:tcPr/>
          <w:p>
            <w:pPr>
              <w:pStyle w:val="Compact"/>
              <w:jc w:val="left"/>
            </w:pPr>
            <w:r>
              <w:t xml:space="preserve">收购兼并便利化</w:t>
            </w:r>
          </w:p>
        </w:tc>
        <w:tc>
          <w:tcPr/>
          <w:p>
            <w:pPr>
              <w:pStyle w:val="Compact"/>
              <w:jc w:val="left"/>
            </w:pPr>
            <w:r>
              <w:t xml:space="preserve">兼并不暂停经营；单体变连锁若场所/仓库/体系未变可免现场检查</w:t>
            </w:r>
          </w:p>
        </w:tc>
        <w:tc>
          <w:tcPr/>
          <w:p>
            <w:pPr>
              <w:pStyle w:val="Compact"/>
              <w:jc w:val="left"/>
            </w:pPr>
            <w:r>
              <w:t xml:space="preserve">第十八条、第二十九条、第三十六条</w:t>
            </w:r>
          </w:p>
        </w:tc>
        <w:tc>
          <w:tcPr/>
          <w:p>
            <w:pPr>
              <w:pStyle w:val="Compact"/>
              <w:jc w:val="left"/>
            </w:pPr>
            <w:r>
              <w:t xml:space="preserve">降低行业整合制度性成本</w:t>
            </w:r>
            <w:r>
              <w:t xml:space="preserve"> </w:t>
            </w:r>
            <w:fldSimple w:instr="NOTEREF _Ref_Footnote_27 \h \f">
              <w:r>
                <w:rPr>
                  <w:vertAlign w:val="superscript"/>
                </w:rPr>
                <w:t>27</w:t>
              </w:r>
            </w:fldSimple>
          </w:p>
        </w:tc>
      </w:tr>
    </w:tbl>
    <w:p>
      <w:pPr>
        <w:pStyle w:val="BodyText"/>
      </w:pPr>
      <w:r>
        <w:t xml:space="preserve">上表显示，山西连锁政策的核心创新在于”动态维持机制”——不仅要求开办时达到10家门店，还要求许可证全生命周期内持续保持，不达标即撤销。这一机制防止了”凑数拿证后散伙”的套利行为，制度刚性显著强于多数省份。</w:t>
      </w:r>
      <w:fldSimple w:instr="NOTEREF _Ref_Footnote_27 \h \f">
        <w:r>
          <w:rPr>
            <w:vertAlign w:val="superscript"/>
          </w:rPr>
          <w:t>27</w:t>
        </w:r>
      </w:fldSimple>
      <w:r>
        <w:t xml:space="preserve"> </w:t>
      </w:r>
      <w:r>
        <w:t xml:space="preserve">在面积标准上，70㎡的单体门槛与北京市持平，高于浙江和江西的40㎡，其政策意图在于通过面积差异引导单体药店向连锁化转型或向仅乙类OTC的便利店型业态降级。</w:t>
      </w:r>
    </w:p>
    <w:p>
      <w:pPr>
        <w:pStyle w:val="BodyText"/>
      </w:pPr>
      <w:r>
        <w:t xml:space="preserve">配送中心条款是另一项具有全国影响的制度创新。办法第二十四条规定连锁总部配送中心使用面积不得少于500㎡，且允许跨省设置。</w:t>
      </w:r>
      <w:fldSimple w:instr="NOTEREF _Ref_Footnote_10 \h \f">
        <w:r>
          <w:rPr>
            <w:vertAlign w:val="superscript"/>
          </w:rPr>
          <w:t>10</w:t>
        </w:r>
      </w:fldSimple>
      <w:r>
        <w:t xml:space="preserve"> </w:t>
      </w:r>
      <w:r>
        <w:t xml:space="preserve">这一条款打破了传统”一省一仓”的物流格局，与国家药监局48号公告第9条”支持跨省设库”形成上下衔接，为全国性连锁巨头在山西注册总部、在其他省份设置仓储节点提供了制度空间。</w:t>
      </w:r>
      <w:fldSimple w:instr="NOTEREF _Ref_Footnote_4 \h \f">
        <w:r>
          <w:rPr>
            <w:vertAlign w:val="superscript"/>
          </w:rPr>
          <w:t>4</w:t>
        </w:r>
      </w:fldSimple>
      <w:r>
        <w:t xml:space="preserve"> </w:t>
      </w:r>
      <w:r>
        <w:t xml:space="preserve">结合海南的批零一体化政策，跨省配送中心条款实质上加速了药品零售从”属地割据”向”全国网络”的转型，行业集中度预计在3-5年内从57%向70%以上跃升。</w:t>
      </w:r>
      <w:fldSimple w:instr="NOTEREF _Ref_Footnote_27 \h \f">
        <w:r>
          <w:rPr>
            <w:vertAlign w:val="superscript"/>
          </w:rPr>
          <w:t>27</w:t>
        </w:r>
      </w:fldSimple>
    </w:p>
    <w:p>
      <w:pPr>
        <w:pStyle w:val="BodyText"/>
      </w:pPr>
      <w:r>
        <w:t xml:space="preserve">“</w:t>
      </w:r>
      <w:r>
        <w:t xml:space="preserve">七统一</w:t>
      </w:r>
      <w:r>
        <w:t xml:space="preserve">”</w:t>
      </w:r>
      <w:r>
        <w:t xml:space="preserve">管理要求与《药品经营和使用质量监督管理办法》（总局令第84号）第四十三条完全一致，但山西增加了加盟门店转单体时的缓冲机制，以及总部停业或注销后门店销售的限制条款，防止连锁体系崩溃导致的药品溯源断裂。</w:t>
      </w:r>
      <w:fldSimple w:instr="NOTEREF _Ref_Footnote_10 \h \f">
        <w:r>
          <w:rPr>
            <w:vertAlign w:val="superscript"/>
          </w:rPr>
          <w:t>10</w:t>
        </w:r>
      </w:fldSimple>
      <w:r>
        <w:t xml:space="preserve"> </w:t>
      </w:r>
      <w:r>
        <w:t xml:space="preserve">这种”刚性统一+弹性缓冲”的设计，在促整合的同时兼顾了系统稳定性。</w:t>
      </w:r>
    </w:p>
    <w:bookmarkEnd w:id="44"/>
    <w:bookmarkStart w:id="45" w:name="仅经营乙类otc告知承诺制与变更便利化"/>
    <w:p>
      <w:pPr>
        <w:pStyle w:val="Heading4"/>
      </w:pPr>
      <w:r>
        <w:t xml:space="preserve">2.3.2 仅经营乙类OTC告知承诺制与变更便利化</w:t>
      </w:r>
    </w:p>
    <w:p>
      <w:pPr>
        <w:pStyle w:val="FirstParagraph"/>
      </w:pPr>
      <w:r>
        <w:t xml:space="preserve">办法第二十条对仅经营乙类非处方药的单体药店和连锁门店实行告知承诺制：申请人向县级行政审批部门提交申请材料和承诺书，符合条件的当日颁发许可证，但自许可决定作出之日起3个月内由药监部门开展技术审查和现场核查，发现承诺不实的可撤销许可。</w:t>
      </w:r>
      <w:fldSimple w:instr="NOTEREF _Ref_Footnote_10 \h \f">
        <w:r>
          <w:rPr>
            <w:vertAlign w:val="superscript"/>
          </w:rPr>
          <w:t>10</w:t>
        </w:r>
      </w:fldSimple>
      <w:r>
        <w:t xml:space="preserve"> </w:t>
      </w:r>
      <w:r>
        <w:t xml:space="preserve">这一程序与总局令第84号第十一条完全衔接，将国家层面的简化许可落地至县级审批部门，同时以”事中事后核查”替代”事前把关”，平衡了便利性与安全性。</w:t>
      </w:r>
    </w:p>
    <w:p>
      <w:pPr>
        <w:pStyle w:val="BodyText"/>
      </w:pPr>
      <w:r>
        <w:t xml:space="preserve">在变更管理方面，办法规定：单体药店变更为连锁门店，若仅整体变更经营主体或企业名称，营业场所、仓库地址、质量管理体系未发生变化的，可免现场检查；连锁企业通过收购、兼并等方式增加门店，办理许可证期间可不暂停原有经营活动，但需做好票据核验和盘点记录。</w:t>
      </w:r>
      <w:fldSimple w:instr="NOTEREF _Ref_Footnote_10 \h \f">
        <w:r>
          <w:rPr>
            <w:vertAlign w:val="superscript"/>
          </w:rPr>
          <w:t>10</w:t>
        </w:r>
      </w:fldSimple>
      <w:r>
        <w:t xml:space="preserve"> </w:t>
      </w:r>
      <w:r>
        <w:t xml:space="preserve">这些条款显著降低了行业整合的制度性交易成本。2024年全国闭店3.9万家、头部连锁逆势扩张的背景下，山西的”兼并不暂停经营”和”单体变连锁免现场检查”条款，将监管资源从重复性现场核查转向对并购后质量管理体系覆盖性的监督，与行业供给侧出清趋势形成了政策共振。</w:t>
      </w:r>
      <w:fldSimple w:instr="NOTEREF _Ref_Footnote_27 \h \f">
        <w:r>
          <w:rPr>
            <w:vertAlign w:val="superscript"/>
          </w:rPr>
          <w:t>27</w:t>
        </w:r>
      </w:fldSimple>
    </w:p>
    <w:bookmarkEnd w:id="45"/>
    <w:bookmarkEnd w:id="46"/>
    <w:bookmarkStart w:id="49" w:name="远程药学服务与网络销售"/>
    <w:p>
      <w:pPr>
        <w:pStyle w:val="Heading3"/>
      </w:pPr>
      <w:r>
        <w:t xml:space="preserve">2.4 远程药学服务与网络销售</w:t>
      </w:r>
    </w:p>
    <w:bookmarkStart w:id="47" w:name="远程审方补充定位与红线约束"/>
    <w:p>
      <w:pPr>
        <w:pStyle w:val="Heading4"/>
      </w:pPr>
      <w:r>
        <w:t xml:space="preserve">2.4.1 远程审方：补充定位与红线约束</w:t>
      </w:r>
    </w:p>
    <w:p>
      <w:pPr>
        <w:pStyle w:val="FirstParagraph"/>
      </w:pPr>
      <w:r>
        <w:t xml:space="preserve">执业药师资源短缺是制约药品零售行业高质量发展的全国性瓶颈。全国执业药师缺口超过60万人，地域分布极不均衡（上海8.1人/万人口 vs 贵州1.9人/万人口）。</w:t>
      </w:r>
      <w:r>
        <w:rPr>
          <w:vertAlign w:val="superscript"/>
        </w:rPr>
        <w:footnoteReference w:id="28"/>
      </w:r>
      <w:r>
        <w:t xml:space="preserve"> </w:t>
      </w:r>
      <w:r>
        <w:t xml:space="preserve">在此约束条件下，山西办法第四十条至第四十二条对远程药学服务作出了系统但审慎的制度安排，体现了”结构弹性”而非”数量刚性”的调控思路。</w:t>
      </w:r>
    </w:p>
    <w:p>
      <w:pPr>
        <w:pStyle w:val="BodyText"/>
      </w:pPr>
      <w:r>
        <w:t xml:space="preserve">人员配置上，办法要求连锁总部设置远程药学服务部，配备执业药师原则上不少于2名。</w:t>
      </w:r>
      <w:fldSimple w:instr="NOTEREF _Ref_Footnote_10 \h \f">
        <w:r>
          <w:rPr>
            <w:vertAlign w:val="superscript"/>
          </w:rPr>
          <w:t>10</w:t>
        </w:r>
      </w:fldSimple>
      <w:r>
        <w:t xml:space="preserve"> </w:t>
      </w:r>
      <w:r>
        <w:t xml:space="preserve">这一门槛低于北京（30家门店以内至少3名）和陕西（30家以内至少3名）的标准，与山西执业药师资源相对有限的省情相适应。</w:t>
      </w:r>
      <w:r>
        <w:rPr>
          <w:vertAlign w:val="superscript"/>
        </w:rPr>
        <w:footnoteReference w:id="2928"/>
      </w:r>
      <w:r>
        <w:t xml:space="preserve"> </w:t>
      </w:r>
      <w:r>
        <w:t xml:space="preserve">但办法明确了三条刚性红线：第一，远程药学服务仅可作为门店执业药师不在岗期间或非工作时段的”补充”，不得取代驻店执业药师配备；第二，不得采用人工智能对处方药自动审方；第三，医疗用毒性药品、第二类精神药品、含特殊药品复方制剂不得采用远程审方。</w:t>
      </w:r>
      <w:fldSimple w:instr="NOTEREF _Ref_Footnote_10 \h \f">
        <w:r>
          <w:rPr>
            <w:vertAlign w:val="superscript"/>
          </w:rPr>
          <w:t>10</w:t>
        </w:r>
      </w:fldSimple>
    </w:p>
    <w:p>
      <w:pPr>
        <w:pStyle w:val="BodyText"/>
      </w:pPr>
      <w:r>
        <w:t xml:space="preserve">禁止AI自动审方条款与2026年5月国家药监局《处方药网络零售合规指南》的精神完全一致。该指南第二十二条明确要求”处方审核工作由执业药师开展，不得由其他岗位人员或者人工智能代为实施”。</w:t>
      </w:r>
      <w:r>
        <w:rPr>
          <w:vertAlign w:val="superscript"/>
        </w:rPr>
        <w:footnoteReference w:id="30"/>
      </w:r>
      <w:r>
        <w:t xml:space="preserve"> </w:t>
      </w:r>
      <w:r>
        <w:t xml:space="preserve">山西在省级规章层面提前落实了这一要求，将技术赋能的边界锁定在”辅助工具”而非”决策主体”。这种审慎立场反映了监管者在”缓解药师缺口”与”保证用药安全”之间的价值权衡——远程审方可在高峰时段和夜间分担审方压力，但无法替代驻店药师与患者的面对面交互和用药指导。</w:t>
      </w:r>
      <w:fldSimple w:instr="NOTEREF _Ref_Footnote_28 \h \f">
        <w:r>
          <w:rPr>
            <w:vertAlign w:val="superscript"/>
          </w:rPr>
          <w:t>28</w:t>
        </w:r>
      </w:fldSimple>
    </w:p>
    <w:p>
      <w:pPr>
        <w:pStyle w:val="BodyText"/>
      </w:pPr>
      <w:r>
        <w:t xml:space="preserve">从政策效果分析，</w:t>
      </w:r>
      <w:r>
        <w:t xml:space="preserve">“</w:t>
      </w:r>
      <w:r>
        <w:t xml:space="preserve">不得取代驻店药师</w:t>
      </w:r>
      <w:r>
        <w:t xml:space="preserve">”</w:t>
      </w:r>
      <w:r>
        <w:t xml:space="preserve">的限定使远程审方的实际效用受到结构性约束。理论上，1名远程执业药师可同时服务多家门店，但门店仍需配置驻店药师，远程审方仅能解决非工作时段的审方缺口，无法从根本上缓解60万+的总量缺口。</w:t>
      </w:r>
      <w:fldSimple w:instr="NOTEREF _Ref_Footnote_28 \h \f">
        <w:r>
          <w:rPr>
            <w:vertAlign w:val="superscript"/>
          </w:rPr>
          <w:t>28</w:t>
        </w:r>
      </w:fldSimple>
      <w:r>
        <w:t xml:space="preserve"> </w:t>
      </w:r>
      <w:r>
        <w:t xml:space="preserve">然而，这一政策设计在长期可能推动执业药师价值从”门店值守”向”远程专业服务”升级，为国家层面出台”集团注册+多点执业”制度提供地方试点经验。</w:t>
      </w:r>
      <w:fldSimple w:instr="NOTEREF _Ref_Footnote_22 \h \f">
        <w:r>
          <w:rPr>
            <w:vertAlign w:val="superscript"/>
          </w:rPr>
          <w:t>22</w:t>
        </w:r>
      </w:fldSimple>
    </w:p>
    <w:bookmarkEnd w:id="47"/>
    <w:bookmarkStart w:id="48" w:name="网络销售实体锚定与线上线下一致"/>
    <w:p>
      <w:pPr>
        <w:pStyle w:val="Heading4"/>
      </w:pPr>
      <w:r>
        <w:t xml:space="preserve">2.4.2 网络销售：实体锚定与线上线下一致</w:t>
      </w:r>
    </w:p>
    <w:p>
      <w:pPr>
        <w:pStyle w:val="FirstParagraph"/>
      </w:pPr>
      <w:r>
        <w:t xml:space="preserve">山西办法第四十五条至第四十七条对药品网络零售作出了”收紧式规范”。核心要求包括：从事药品网络零售须具备对应的线下实体零售药店，无实体门店不得网售；发货地址须与《药品经营许可证》的经营地址和仓库地址一致；药品零售连锁企业从事网络零售的，应当以门店为销售主体，不得以总部名义、通过总部仓库直接向个人销售药品。</w:t>
      </w:r>
      <w:fldSimple w:instr="NOTEREF _Ref_Footnote_10 \h \f">
        <w:r>
          <w:rPr>
            <w:vertAlign w:val="superscript"/>
          </w:rPr>
          <w:t>10</w:t>
        </w:r>
      </w:fldSimple>
    </w:p>
    <w:p>
      <w:pPr>
        <w:pStyle w:val="BodyText"/>
      </w:pPr>
      <w:r>
        <w:t xml:space="preserve">“</w:t>
      </w:r>
      <w:r>
        <w:t xml:space="preserve">实体锚定</w:t>
      </w:r>
      <w:r>
        <w:t xml:space="preserve">”</w:t>
      </w:r>
      <w:r>
        <w:t xml:space="preserve">原则正在成为全国共识。湖北、山东、辽宁等省已明确类似要求，其深层逻辑在于解决”线上无边界”与”监管属地化”的冲突：将线上销售锁定到实体门店，使监管责任由门店所在地承担，实体门店由此从单纯的销售终端转变为线上业务的”监管节点”和”准入牌照”。</w:t>
      </w:r>
      <w:r>
        <w:rPr>
          <w:vertAlign w:val="superscript"/>
        </w:rPr>
        <w:footnoteReference w:id="31"/>
      </w:r>
      <w:r>
        <w:t xml:space="preserve"> </w:t>
      </w:r>
      <w:r>
        <w:t xml:space="preserve">对于头部连锁，门店数量越多，线上业务的合规基础越广；对于纯互联网医药平台，则必须建设或收购实体门店网络以获取准入资格。</w:t>
      </w:r>
    </w:p>
    <w:p>
      <w:pPr>
        <w:pStyle w:val="BodyText"/>
      </w:pPr>
      <w:r>
        <w:t xml:space="preserve">“</w:t>
      </w:r>
      <w:r>
        <w:t xml:space="preserve">连锁以门店为销售主体</w:t>
      </w:r>
      <w:r>
        <w:t xml:space="preserve">”</w:t>
      </w:r>
      <w:r>
        <w:t xml:space="preserve">的规定对现有商业模式冲击显著。部分连锁企业此前采用”总部一件代发”模式，即消费者在线下单后由总部仓库直接发货，门店仅作为流量入口。山西办法禁止这一模式，要求以门店为发货主体，意在防止批发与零售业务边界模糊，强化门店主体责任。</w:t>
      </w:r>
      <w:fldSimple w:instr="NOTEREF _Ref_Footnote_10 \h \f">
        <w:r>
          <w:rPr>
            <w:vertAlign w:val="superscript"/>
          </w:rPr>
          <w:t>10</w:t>
        </w:r>
      </w:fldSimple>
      <w:r>
        <w:t xml:space="preserve"> </w:t>
      </w:r>
      <w:r>
        <w:t xml:space="preserve">结合第四十九条对”全品种追溯码信息采集与上传”的强制要求，网络销售的每一笔订单均可追溯至具体门店和具体药师，形成了从处方审核到药品发货的闭环监管。</w:t>
      </w:r>
      <w:fldSimple w:instr="NOTEREF _Ref_Footnote_10 \h \f">
        <w:r>
          <w:rPr>
            <w:vertAlign w:val="superscript"/>
          </w:rPr>
          <w:t>10</w:t>
        </w:r>
      </w:fldSimple>
    </w:p>
    <w:p>
      <w:pPr>
        <w:pStyle w:val="BodyText"/>
      </w:pPr>
      <w:r>
        <w:t xml:space="preserve">该规定也抬高了网络零售的合规成本。连锁企业需为每个线上订单匹配门店库存和门店药师审方，无法通过总部集约化仓储降低物流成本。在O2O（线上到线下）模式快速增长的行业背景下，实体药店的”战略价值”正从销售终端上升为线上业务的”准入牌照”，小型实体药店可能被电商巨头收购作为合规入口，头部连锁在O2O竞争中获得结构性优势。</w:t>
      </w:r>
      <w:fldSimple w:instr="NOTEREF _Ref_Footnote_31 \h \f">
        <w:r>
          <w:rPr>
            <w:vertAlign w:val="superscript"/>
          </w:rPr>
          <w:t>31</w:t>
        </w:r>
      </w:fldSimple>
      <w:r>
        <w:t xml:space="preserve"> </w:t>
      </w:r>
      <w:r>
        <w:t xml:space="preserve">这一制度设计客观上加速了”实体为锚、线上延伸”的融合模式，终结了纯线上药品零售的合规空间。</w:t>
      </w:r>
    </w:p>
    <w:p>
      <w:r>
        <w:pict>
          <v:rect style="width:0;height:1.5pt" o:hralign="center" o:hrstd="t" o:hr="t"/>
        </w:pict>
      </w:r>
    </w:p>
    <w:p>
      <w:r>
        <w:pict>
          <v:rect style="width:0;height:1.5pt" o:hralign="center" o:hrstd="t" o:hr="t"/>
        </w:pict>
      </w:r>
    </w:p>
    <w:bookmarkEnd w:id="48"/>
    <w:bookmarkEnd w:id="49"/>
    <w:bookmarkEnd w:id="50"/>
    <w:bookmarkStart w:id="62" w:name="售药渠道创新政策全国对比"/>
    <w:p>
      <w:pPr>
        <w:pStyle w:val="Heading2"/>
      </w:pPr>
      <w:r>
        <w:t xml:space="preserve">3. 售药渠道创新政策全国对比</w:t>
      </w:r>
    </w:p>
    <w:p>
      <w:pPr>
        <w:pStyle w:val="FirstParagraph"/>
      </w:pPr>
      <w:r>
        <w:t xml:space="preserve">2024年4月国家药监局第48号公告（《关于进一步做好药品经营监督管理有关工作的公告》）明确将自助售药机的销售范围限定为乙类非处方药（Over-the-Counter，简称OTC），在全国层面为自动售药设备划定了保守基准</w:t>
      </w:r>
      <w:fldSimple w:instr="NOTEREF _Ref_Footnote_4 \h \f">
        <w:r>
          <w:rPr>
            <w:vertAlign w:val="superscript"/>
          </w:rPr>
          <w:t>4</w:t>
        </w:r>
      </w:fldSimple>
      <w:r>
        <w:t xml:space="preserve">。然而，截至2026年上半年，各省并未形成统一执行标准，而是呈现出明显的”三档分化”格局：严格保守型固守48号公告底线，适度放开型在甲类OTC上寻求突破，积极探索型则以”智慧药房”等概念创新实现处方药销售。这种分化不仅反映了地方监管者对”用药安全”与”药品可及性”两大目标的权衡差异，也揭示了在国家法规框架的”空白地带”中，地方政策创新的操作空间与法律风险。</w:t>
      </w:r>
    </w:p>
    <w:bookmarkStart w:id="54" w:name="全国三档分化格局"/>
    <w:p>
      <w:pPr>
        <w:pStyle w:val="Heading3"/>
      </w:pPr>
      <w:r>
        <w:t xml:space="preserve">3.1 全国三档分化格局</w:t>
      </w:r>
    </w:p>
    <w:bookmarkStart w:id="51" w:name="严格保守型仅乙类otc"/>
    <w:p>
      <w:pPr>
        <w:pStyle w:val="Heading4"/>
      </w:pPr>
      <w:r>
        <w:t xml:space="preserve">3.1.1 严格保守型：仅乙类OTC</w:t>
      </w:r>
    </w:p>
    <w:p>
      <w:pPr>
        <w:pStyle w:val="FirstParagraph"/>
      </w:pPr>
      <w:r>
        <w:t xml:space="preserve">48号公告发布后，北京、陕西、广西、甘肃、江西等省（区、市）迅速调整地方政策，将自助售药机的销售范围严格限定于乙类OTC，不越国家红线一步。北京市药监局2024年10月施行的《北京市药品零售企业设置自助售（取）药机管理暂行规定》规定，自助售药机仅销售乙类OTC，但设置门槛较高——要求连锁门店不少于15家方可依托门店在交通枢纽等区域设立，且须配备实时在线药学服务</w:t>
      </w:r>
      <w:r>
        <w:rPr>
          <w:vertAlign w:val="superscript"/>
        </w:rPr>
        <w:footnoteReference w:id="32"/>
      </w:r>
      <w:r>
        <w:t xml:space="preserve">。北京市同时引入了”自助取药机”概念，允许其在医疗机构内供患者凭处方提取已调配好的药品，这在技术上属于”处方交付终端”而非”销售终端”，与48号公告的禁止对象并不冲突。</w:t>
      </w:r>
    </w:p>
    <w:p>
      <w:pPr>
        <w:pStyle w:val="BodyText"/>
      </w:pPr>
      <w:r>
        <w:t xml:space="preserve">陕西省2024年6月发布的《陕西省自助售药机销售药品管理规定（试行）》（征求意见稿）同样限定仅售乙类OTC，要求配备温湿度监测并提供执业药师视频连线指导</w:t>
      </w:r>
      <w:r>
        <w:rPr>
          <w:vertAlign w:val="superscript"/>
        </w:rPr>
        <w:footnoteReference w:id="33"/>
      </w:r>
      <w:r>
        <w:t xml:space="preserve">。广西2024年12月施行的规定将范围扩展至一类医疗器械和部分二类医疗器械，但明确禁止销售处方药、甲类OTC及中药饮片</w:t>
      </w:r>
      <w:fldSimple w:instr="NOTEREF _Ref_Footnote_34 \h \f">
        <w:r>
          <w:rPr>
            <w:vertAlign w:val="superscript"/>
          </w:rPr>
          <w:t>34</w:t>
        </w:r>
      </w:fldSimple>
      <w:r>
        <w:t xml:space="preserve">。甘肃和江西的规定发布较早（2022年），在48号公告后实质上已被”锁定”在乙类OTC框架内。此类省份的共同特征是：监管态度审慎，政策重心放在填补”夜间购药空白”和”公共场所便利性”上，而非拓展药品销售范围。</w:t>
      </w:r>
    </w:p>
    <w:bookmarkEnd w:id="51"/>
    <w:bookmarkStart w:id="52" w:name="适度放开型可售甲类otc"/>
    <w:p>
      <w:pPr>
        <w:pStyle w:val="Heading4"/>
      </w:pPr>
      <w:r>
        <w:t xml:space="preserve">3.1.2 适度放开型：可售甲类OTC</w:t>
      </w:r>
    </w:p>
    <w:p>
      <w:pPr>
        <w:pStyle w:val="FirstParagraph"/>
      </w:pPr>
      <w:r>
        <w:t xml:space="preserve">重庆市是这一档的典型代表。2020年5月，重庆市药监局联合市医保局发布《重庆市自动售药机管理规定（试行）》，明确自动售药机可销售”非处方药品”（含甲类OTC），同时要求销售甲类OTC的设备必须由所属企业提供24小时药学服务，在执业药师指导下销售药品</w:t>
      </w:r>
      <w:r>
        <w:rPr>
          <w:vertAlign w:val="superscript"/>
        </w:rPr>
        <w:footnoteReference w:id="35"/>
      </w:r>
      <w:r>
        <w:t xml:space="preserve">。此外，医保定点药店在店内设置的自动售药机可开通医保个人账户结算功能，这使重庆成为较早实现”自动售药机+医保结算”打通的省份之一。西藏自治区2023年5月施行的规定也允许自动售药机销售甲类OTC，并要求配备执业药师提供药学服务</w:t>
      </w:r>
      <w:r>
        <w:rPr>
          <w:vertAlign w:val="superscript"/>
        </w:rPr>
        <w:footnoteReference w:id="36"/>
      </w:r>
      <w:r>
        <w:t xml:space="preserve">。</w:t>
      </w:r>
    </w:p>
    <w:p>
      <w:pPr>
        <w:pStyle w:val="BodyText"/>
      </w:pPr>
      <w:r>
        <w:t xml:space="preserve">甲类OTC与乙类OTC的核心区别在于：甲类OTC须在药师指导下购买和使用，其潜在不良反应风险高于乙类OTC。允许自动售药机销售甲类OTC，意味着监管者认可”远程药学服务”可以替代”面对面药师指导”，这在监管逻辑上是一次重要突破。然而，这一突破仅限于非处方药领域，尚未触及处方药——后者需要处方来源审核、适应症评估和用药交互审查，监管复杂度显著更高。</w:t>
      </w:r>
    </w:p>
    <w:bookmarkEnd w:id="52"/>
    <w:bookmarkStart w:id="53" w:name="积极探索型可售处方药"/>
    <w:p>
      <w:pPr>
        <w:pStyle w:val="Heading4"/>
      </w:pPr>
      <w:r>
        <w:t xml:space="preserve">3.1.3 积极探索型：可售处方药</w:t>
      </w:r>
    </w:p>
    <w:p>
      <w:pPr>
        <w:pStyle w:val="FirstParagraph"/>
      </w:pPr>
      <w:r>
        <w:t xml:space="preserve">山西、山东烟台、湖南永州、湖北、上海浦东、河北等地构成了第三档——积极探索型。这些地区通过引入”智慧药房”</w:t>
      </w:r>
      <w:r>
        <w:t xml:space="preserve">“</w:t>
      </w:r>
      <w:r>
        <w:t xml:space="preserve">智能储药柜</w:t>
      </w:r>
      <w:r>
        <w:t xml:space="preserve">”</w:t>
      </w:r>
      <w:r>
        <w:t xml:space="preserve">“</w:t>
      </w:r>
      <w:r>
        <w:t xml:space="preserve">远程药柜</w:t>
      </w:r>
      <w:r>
        <w:t xml:space="preserve">”</w:t>
      </w:r>
      <w:r>
        <w:t xml:space="preserve">等差异化概念，在48号公告的”自助售药机”定义之外开辟了处方药销售空间。</w:t>
      </w:r>
    </w:p>
    <w:p>
      <w:pPr>
        <w:pStyle w:val="BodyText"/>
      </w:pPr>
      <w:r>
        <w:t xml:space="preserve">山西省2026年新规将设施明确分为三类：药品销售专柜（仅乙类OTC）、自助售药机（仅乙类OTC）和智慧药房（柜）（可售处方药及非处方药）。智慧药房（柜）被定义为”应用大数据、云计算、物联网等先进信息技术，对接’互联网+’医院、电子处方流转平台和电子医保系统、远程审方平台”的数字化零售终端，须经执业药师审方后方可调配出售处方药</w:t>
      </w:r>
      <w:fldSimple w:instr="NOTEREF _Ref_Footnote_10 \h \f">
        <w:r>
          <w:rPr>
            <w:vertAlign w:val="superscript"/>
          </w:rPr>
          <w:t>10</w:t>
        </w:r>
      </w:fldSimple>
      <w:r>
        <w:t xml:space="preserve">。山东烟台2023年3月印发的《烟台市智能储药柜出售药品管理规定》要求，通过智能储药柜出售处方药必须对接依法批准的互联网医院，电子处方经自建远程审核处方服务平台审方药师审核后方可调配</w:t>
      </w:r>
      <w:r>
        <w:rPr>
          <w:vertAlign w:val="superscript"/>
        </w:rPr>
        <w:footnoteReference w:id="37"/>
      </w:r>
      <w:r>
        <w:t xml:space="preserve">。湖南永州2022年1月发布的试行规定同样允许自动售药机销售处方药，前提是具备获取处方来源的设备并对接实体医疗机构或互联网医院电子处方，经零售连锁企业执业药师远程审方后销售</w:t>
      </w:r>
      <w:r>
        <w:rPr>
          <w:vertAlign w:val="superscript"/>
        </w:rPr>
        <w:footnoteReference w:id="38"/>
      </w:r>
      <w:r>
        <w:t xml:space="preserve">。</w:t>
      </w:r>
    </w:p>
    <w:p>
      <w:pPr>
        <w:pStyle w:val="BodyText"/>
      </w:pPr>
      <w:r>
        <w:t xml:space="preserve">上海浦东的试点更具层次感：2023年5月，华氏大药房与美团买药合作落地的”24小时智慧药房”采用”在店模式”——智慧药柜嵌在药店墙内，作为实体药店的数字化延伸，可售处方药；但2024年8月《上海市药品零售企业许可验收实施细则》规定，离店智慧药柜（放置于小区、办公楼等）仅限非处方药，且要求拥有10家以上门店的连锁药店才有资格投放</w:t>
      </w:r>
      <w:r>
        <w:rPr>
          <w:vertAlign w:val="superscript"/>
        </w:rPr>
        <w:footnoteReference w:id="39"/>
      </w:r>
      <w:r>
        <w:t xml:space="preserve">。这种”在店可售处方、离店仅售OTC”的梯度设计，体现了上海监管者试图在创新与风险之间寻求精确平衡。</w:t>
      </w:r>
    </w:p>
    <w:p>
      <w:pPr>
        <w:pStyle w:val="BodyText"/>
      </w:pPr>
      <w:r>
        <w:t xml:space="preserve">湖北省2021年11月发布的《湖北省社会药房监督管理办法（试行）》引入了”远程药柜”概念，按药事能力分级管理：初级仅售OTC，高级可售部分处方药，但禁止生物制品、需冷藏冷冻药品、中药饮片等8类高风险药品通过远程药柜售卖，并实行备案管理</w:t>
      </w:r>
      <w:r>
        <w:rPr>
          <w:vertAlign w:val="superscript"/>
        </w:rPr>
        <w:footnoteReference w:id="40"/>
      </w:r>
      <w:r>
        <w:t xml:space="preserve">。河北省则形成了独特的”医保局主导”路径：2023年10月，河北省医保局发布《关于设置”自助药房”进一步方便参保群众购药的通知》，允许门诊保障药店和”双通道”（国家谈判药品通过定点医疗机构和定点零售药店两个渠道保障）药店设置自助药房，销售国家谈判药品、慢性病用药和常见病用药，且须接入国家统一医保信息平台处方流转中心，实现处方流转和医保结算</w:t>
      </w:r>
      <w:r>
        <w:rPr>
          <w:vertAlign w:val="superscript"/>
        </w:rPr>
        <w:footnoteReference w:id="41"/>
      </w:r>
      <w:r>
        <w:t xml:space="preserve">。这意味着河北的”自助药房”处方药销售是由医保部门驱动、以医保结算为闭环的特定模式，而非药监部门对一般性处方药自动销售的全面放开。</w:t>
      </w:r>
    </w:p>
    <w:p>
      <w:pPr>
        <w:pStyle w:val="BodyText"/>
      </w:pPr>
      <w:r>
        <w:rPr>
          <w:b/>
          <w:bCs/>
        </w:rPr>
        <w:t xml:space="preserve">表1 全国售药渠道创新政策三档分化对比</w:t>
      </w:r>
    </w:p>
    <w:tbl>
      <w:tblPr>
        <w:tblStyle w:val="Table"/>
        <w:tblW w:type="pct" w:w="5000"/>
        <w:jc w:val="start"/>
        <w:tblLayout w:type="fixed"/>
        <w:tblLook w:firstRow="1" w:lastRow="0" w:firstColumn="0" w:lastColumn="0" w:noHBand="0" w:noVBand="0" w:val="0020"/>
      </w:tblPr>
      <w:tblGrid>
        <w:gridCol w:w="772"/>
        <w:gridCol w:w="772"/>
        <w:gridCol w:w="772"/>
        <w:gridCol w:w="965"/>
        <w:gridCol w:w="965"/>
        <w:gridCol w:w="965"/>
        <w:gridCol w:w="965"/>
        <w:gridCol w:w="965"/>
        <w:gridCol w:w="772"/>
      </w:tblGrid>
      <w:tr>
        <w:trPr>
          <w:tblHeader w:val="true"/>
        </w:trPr>
        <w:tc>
          <w:tcPr/>
          <w:p>
            <w:pPr>
              <w:pStyle w:val="Compact"/>
              <w:jc w:val="left"/>
            </w:pPr>
            <w:r>
              <w:t xml:space="preserve">档次</w:t>
            </w:r>
          </w:p>
        </w:tc>
        <w:tc>
          <w:tcPr/>
          <w:p>
            <w:pPr>
              <w:pStyle w:val="Compact"/>
              <w:jc w:val="left"/>
            </w:pPr>
            <w:r>
              <w:t xml:space="preserve">代表地区</w:t>
            </w:r>
          </w:p>
        </w:tc>
        <w:tc>
          <w:tcPr/>
          <w:p>
            <w:pPr>
              <w:pStyle w:val="Compact"/>
              <w:jc w:val="left"/>
            </w:pPr>
            <w:r>
              <w:t xml:space="preserve">设施类型</w:t>
            </w:r>
          </w:p>
        </w:tc>
        <w:tc>
          <w:tcPr/>
          <w:p>
            <w:pPr>
              <w:pStyle w:val="Compact"/>
              <w:jc w:val="center"/>
            </w:pPr>
            <w:r>
              <w:t xml:space="preserve">乙类OTC</w:t>
            </w:r>
          </w:p>
        </w:tc>
        <w:tc>
          <w:tcPr/>
          <w:p>
            <w:pPr>
              <w:pStyle w:val="Compact"/>
              <w:jc w:val="center"/>
            </w:pPr>
            <w:r>
              <w:t xml:space="preserve">甲类OTC</w:t>
            </w:r>
          </w:p>
        </w:tc>
        <w:tc>
          <w:tcPr/>
          <w:p>
            <w:pPr>
              <w:pStyle w:val="Compact"/>
              <w:jc w:val="center"/>
            </w:pPr>
            <w:r>
              <w:t xml:space="preserve">处方药</w:t>
            </w:r>
          </w:p>
        </w:tc>
        <w:tc>
          <w:tcPr/>
          <w:p>
            <w:pPr>
              <w:pStyle w:val="Compact"/>
              <w:jc w:val="center"/>
            </w:pPr>
            <w:r>
              <w:t xml:space="preserve">互联网诊疗/远程审方</w:t>
            </w:r>
          </w:p>
        </w:tc>
        <w:tc>
          <w:tcPr/>
          <w:p>
            <w:pPr>
              <w:pStyle w:val="Compact"/>
              <w:jc w:val="center"/>
            </w:pPr>
            <w:r>
              <w:t xml:space="preserve">医保结算</w:t>
            </w:r>
          </w:p>
        </w:tc>
        <w:tc>
          <w:tcPr/>
          <w:p>
            <w:pPr>
              <w:pStyle w:val="Compact"/>
              <w:jc w:val="left"/>
            </w:pPr>
            <w:r>
              <w:t xml:space="preserve">关键政策文件及时间</w:t>
            </w:r>
          </w:p>
        </w:tc>
      </w:tr>
      <w:tr>
        <w:tc>
          <w:tcPr/>
          <w:p>
            <w:pPr>
              <w:pStyle w:val="Compact"/>
              <w:jc w:val="left"/>
            </w:pPr>
            <w:r>
              <w:t xml:space="preserve">严格保守型</w:t>
            </w:r>
          </w:p>
        </w:tc>
        <w:tc>
          <w:tcPr/>
          <w:p>
            <w:pPr>
              <w:pStyle w:val="Compact"/>
              <w:jc w:val="left"/>
            </w:pPr>
            <w:r>
              <w:t xml:space="preserve">北京</w:t>
            </w:r>
          </w:p>
        </w:tc>
        <w:tc>
          <w:tcPr/>
          <w:p>
            <w:pPr>
              <w:pStyle w:val="Compact"/>
              <w:jc w:val="left"/>
            </w:pPr>
            <w:r>
              <w:t xml:space="preserve">自助售药机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实时在线药学服务</w:t>
            </w:r>
          </w:p>
        </w:tc>
        <w:tc>
          <w:tcPr/>
          <w:p>
            <w:pPr>
              <w:pStyle w:val="Compact"/>
              <w:jc w:val="center"/>
            </w:pPr>
            <w:r>
              <w:t xml:space="preserve">店内可医保</w:t>
            </w:r>
          </w:p>
        </w:tc>
        <w:tc>
          <w:tcPr/>
          <w:p>
            <w:pPr>
              <w:pStyle w:val="Compact"/>
              <w:jc w:val="left"/>
            </w:pPr>
            <w:r>
              <w:t xml:space="preserve">京药监发〔2024〕230号，2024.10</w:t>
            </w:r>
            <w:r>
              <w:t xml:space="preserve"> </w:t>
            </w:r>
            <w:fldSimple w:instr="NOTEREF _Ref_Footnote_32 \h \f">
              <w:r>
                <w:rPr>
                  <w:vertAlign w:val="superscript"/>
                </w:rPr>
                <w:t>32</w:t>
              </w:r>
            </w:fldSimple>
          </w:p>
        </w:tc>
      </w:tr>
      <w:tr>
        <w:tc>
          <w:tcPr/>
          <w:p>
            <w:pPr>
              <w:pStyle w:val="Compact"/>
              <w:jc w:val="left"/>
            </w:pPr>
            <w:r>
              <w:t xml:space="preserve">严格保守型</w:t>
            </w:r>
          </w:p>
        </w:tc>
        <w:tc>
          <w:tcPr/>
          <w:p>
            <w:pPr>
              <w:pStyle w:val="Compact"/>
              <w:jc w:val="left"/>
            </w:pPr>
            <w:r>
              <w:t xml:space="preserve">陕西</w:t>
            </w:r>
          </w:p>
        </w:tc>
        <w:tc>
          <w:tcPr/>
          <w:p>
            <w:pPr>
              <w:pStyle w:val="Compact"/>
              <w:jc w:val="left"/>
            </w:pPr>
            <w:r>
              <w:t xml:space="preserve">自助售药机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视频连线执业药师</w:t>
            </w:r>
          </w:p>
        </w:tc>
        <w:tc>
          <w:tcPr/>
          <w:p>
            <w:pPr>
              <w:pStyle w:val="Compact"/>
              <w:jc w:val="center"/>
            </w:pPr>
            <w:r>
              <w:t xml:space="preserve">—</w:t>
            </w:r>
          </w:p>
        </w:tc>
        <w:tc>
          <w:tcPr/>
          <w:p>
            <w:pPr>
              <w:pStyle w:val="Compact"/>
              <w:jc w:val="left"/>
            </w:pPr>
            <w:r>
              <w:t xml:space="preserve">征求意见稿，2024.06</w:t>
            </w:r>
            <w:r>
              <w:t xml:space="preserve"> </w:t>
            </w:r>
            <w:fldSimple w:instr="NOTEREF _Ref_Footnote_33 \h \f">
              <w:r>
                <w:rPr>
                  <w:vertAlign w:val="superscript"/>
                </w:rPr>
                <w:t>33</w:t>
              </w:r>
            </w:fldSimple>
          </w:p>
        </w:tc>
      </w:tr>
      <w:tr>
        <w:tc>
          <w:tcPr/>
          <w:p>
            <w:pPr>
              <w:pStyle w:val="Compact"/>
              <w:jc w:val="left"/>
            </w:pPr>
            <w:r>
              <w:t xml:space="preserve">严格保守型</w:t>
            </w:r>
          </w:p>
        </w:tc>
        <w:tc>
          <w:tcPr/>
          <w:p>
            <w:pPr>
              <w:pStyle w:val="Compact"/>
              <w:jc w:val="left"/>
            </w:pPr>
            <w:r>
              <w:t xml:space="preserve">广西</w:t>
            </w:r>
          </w:p>
        </w:tc>
        <w:tc>
          <w:tcPr/>
          <w:p>
            <w:pPr>
              <w:pStyle w:val="Compact"/>
              <w:jc w:val="left"/>
            </w:pPr>
            <w:r>
              <w:t xml:space="preserve">自助售药机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药师指导</w:t>
            </w:r>
          </w:p>
        </w:tc>
        <w:tc>
          <w:tcPr/>
          <w:p>
            <w:pPr>
              <w:pStyle w:val="Compact"/>
              <w:jc w:val="center"/>
            </w:pPr>
            <w:r>
              <w:t xml:space="preserve">—</w:t>
            </w:r>
          </w:p>
        </w:tc>
        <w:tc>
          <w:tcPr/>
          <w:p>
            <w:pPr>
              <w:pStyle w:val="Compact"/>
              <w:jc w:val="left"/>
            </w:pPr>
            <w:r>
              <w:t xml:space="preserve">2024.12施行</w:t>
            </w:r>
            <w:r>
              <w:t xml:space="preserve"> </w:t>
            </w:r>
            <w:fldSimple w:instr="NOTEREF _Ref_Footnote_34 \h \f">
              <w:r>
                <w:rPr>
                  <w:vertAlign w:val="superscript"/>
                </w:rPr>
                <w:t>34</w:t>
              </w:r>
            </w:fldSimple>
          </w:p>
        </w:tc>
      </w:tr>
      <w:tr>
        <w:tc>
          <w:tcPr/>
          <w:p>
            <w:pPr>
              <w:pStyle w:val="Compact"/>
              <w:jc w:val="left"/>
            </w:pPr>
            <w:r>
              <w:t xml:space="preserve">严格保守型</w:t>
            </w:r>
          </w:p>
        </w:tc>
        <w:tc>
          <w:tcPr/>
          <w:p>
            <w:pPr>
              <w:pStyle w:val="Compact"/>
              <w:jc w:val="left"/>
            </w:pPr>
            <w:r>
              <w:t xml:space="preserve">甘肃</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2022.10征求意见</w:t>
            </w:r>
            <w:r>
              <w:t xml:space="preserve"> </w:t>
            </w:r>
            <w:r>
              <w:rPr>
                <w:vertAlign w:val="superscript"/>
              </w:rPr>
              <w:footnoteReference w:id="42"/>
            </w:r>
          </w:p>
        </w:tc>
      </w:tr>
      <w:tr>
        <w:tc>
          <w:tcPr/>
          <w:p>
            <w:pPr>
              <w:pStyle w:val="Compact"/>
              <w:jc w:val="left"/>
            </w:pPr>
            <w:r>
              <w:t xml:space="preserve">严格保守型</w:t>
            </w:r>
          </w:p>
        </w:tc>
        <w:tc>
          <w:tcPr/>
          <w:p>
            <w:pPr>
              <w:pStyle w:val="Compact"/>
              <w:jc w:val="left"/>
            </w:pPr>
            <w:r>
              <w:t xml:space="preserve">江西</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2022.11</w:t>
            </w:r>
            <w:r>
              <w:t xml:space="preserve"> </w:t>
            </w:r>
            <w:r>
              <w:rPr>
                <w:vertAlign w:val="superscript"/>
              </w:rPr>
              <w:footnoteReference w:id="43"/>
            </w:r>
          </w:p>
        </w:tc>
      </w:tr>
      <w:tr>
        <w:tc>
          <w:tcPr/>
          <w:p>
            <w:pPr>
              <w:pStyle w:val="Compact"/>
              <w:jc w:val="left"/>
            </w:pPr>
            <w:r>
              <w:t xml:space="preserve">适度放开型</w:t>
            </w:r>
          </w:p>
        </w:tc>
        <w:tc>
          <w:tcPr/>
          <w:p>
            <w:pPr>
              <w:pStyle w:val="Compact"/>
              <w:jc w:val="left"/>
            </w:pPr>
            <w:r>
              <w:t xml:space="preserve">重庆</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24小时药学服务（甲类OTC）</w:t>
            </w:r>
          </w:p>
        </w:tc>
        <w:tc>
          <w:tcPr/>
          <w:p>
            <w:pPr>
              <w:pStyle w:val="Compact"/>
              <w:jc w:val="center"/>
            </w:pPr>
            <w:r>
              <w:t xml:space="preserve">店内可医保</w:t>
            </w:r>
          </w:p>
        </w:tc>
        <w:tc>
          <w:tcPr/>
          <w:p>
            <w:pPr>
              <w:pStyle w:val="Compact"/>
              <w:jc w:val="left"/>
            </w:pPr>
            <w:r>
              <w:t xml:space="preserve">渝药监〔2020〕26号，2020.07</w:t>
            </w:r>
            <w:r>
              <w:t xml:space="preserve"> </w:t>
            </w:r>
            <w:fldSimple w:instr="NOTEREF _Ref_Footnote_35 \h \f">
              <w:r>
                <w:rPr>
                  <w:vertAlign w:val="superscript"/>
                </w:rPr>
                <w:t>35</w:t>
              </w:r>
            </w:fldSimple>
          </w:p>
        </w:tc>
      </w:tr>
      <w:tr>
        <w:tc>
          <w:tcPr/>
          <w:p>
            <w:pPr>
              <w:pStyle w:val="Compact"/>
              <w:jc w:val="left"/>
            </w:pPr>
            <w:r>
              <w:t xml:space="preserve">适度放开型</w:t>
            </w:r>
          </w:p>
        </w:tc>
        <w:tc>
          <w:tcPr/>
          <w:p>
            <w:pPr>
              <w:pStyle w:val="Compact"/>
              <w:jc w:val="left"/>
            </w:pPr>
            <w:r>
              <w:t xml:space="preserve">西藏</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执业药师指导</w:t>
            </w:r>
          </w:p>
        </w:tc>
        <w:tc>
          <w:tcPr/>
          <w:p>
            <w:pPr>
              <w:pStyle w:val="Compact"/>
              <w:jc w:val="center"/>
            </w:pPr>
            <w:r>
              <w:t xml:space="preserve">—</w:t>
            </w:r>
          </w:p>
        </w:tc>
        <w:tc>
          <w:tcPr/>
          <w:p>
            <w:pPr>
              <w:pStyle w:val="Compact"/>
              <w:jc w:val="left"/>
            </w:pPr>
            <w:r>
              <w:t xml:space="preserve">2023.05施行</w:t>
            </w:r>
            <w:r>
              <w:t xml:space="preserve"> </w:t>
            </w:r>
            <w:fldSimple w:instr="NOTEREF _Ref_Footnote_36 \h \f">
              <w:r>
                <w:rPr>
                  <w:vertAlign w:val="superscript"/>
                </w:rPr>
                <w:t>36</w:t>
              </w:r>
            </w:fldSimple>
          </w:p>
        </w:tc>
      </w:tr>
      <w:tr>
        <w:tc>
          <w:tcPr/>
          <w:p>
            <w:pPr>
              <w:pStyle w:val="Compact"/>
              <w:jc w:val="left"/>
            </w:pPr>
            <w:r>
              <w:t xml:space="preserve">积极探索型</w:t>
            </w:r>
          </w:p>
        </w:tc>
        <w:tc>
          <w:tcPr/>
          <w:p>
            <w:pPr>
              <w:pStyle w:val="Compact"/>
              <w:jc w:val="left"/>
            </w:pPr>
            <w:r>
              <w:t xml:space="preserve">山西</w:t>
            </w:r>
          </w:p>
        </w:tc>
        <w:tc>
          <w:tcPr/>
          <w:p>
            <w:pPr>
              <w:pStyle w:val="Compact"/>
              <w:jc w:val="left"/>
            </w:pPr>
            <w:r>
              <w:t xml:space="preserve">智慧药房（柜）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必需</w:t>
            </w:r>
          </w:p>
        </w:tc>
        <w:tc>
          <w:tcPr/>
          <w:p>
            <w:pPr>
              <w:pStyle w:val="Compact"/>
              <w:jc w:val="center"/>
            </w:pPr>
            <w:r>
              <w:t xml:space="preserve">未明确</w:t>
            </w:r>
          </w:p>
        </w:tc>
        <w:tc>
          <w:tcPr/>
          <w:p>
            <w:pPr>
              <w:pStyle w:val="Compact"/>
              <w:jc w:val="left"/>
            </w:pPr>
            <w:r>
              <w:t xml:space="preserve">晋药监规〔2026〕7号，2026.05</w:t>
            </w:r>
            <w:r>
              <w:t xml:space="preserve"> </w:t>
            </w:r>
            <w:fldSimple w:instr="NOTEREF _Ref_Footnote_10 \h \f">
              <w:r>
                <w:rPr>
                  <w:vertAlign w:val="superscript"/>
                </w:rPr>
                <w:t>10</w:t>
              </w:r>
            </w:fldSimple>
          </w:p>
        </w:tc>
      </w:tr>
      <w:tr>
        <w:tc>
          <w:tcPr/>
          <w:p>
            <w:pPr>
              <w:pStyle w:val="Compact"/>
              <w:jc w:val="left"/>
            </w:pPr>
            <w:r>
              <w:t xml:space="preserve">积极探索型</w:t>
            </w:r>
          </w:p>
        </w:tc>
        <w:tc>
          <w:tcPr/>
          <w:p>
            <w:pPr>
              <w:pStyle w:val="Compact"/>
              <w:jc w:val="left"/>
            </w:pPr>
            <w:r>
              <w:t xml:space="preserve">山东烟台</w:t>
            </w:r>
          </w:p>
        </w:tc>
        <w:tc>
          <w:tcPr/>
          <w:p>
            <w:pPr>
              <w:pStyle w:val="Compact"/>
              <w:jc w:val="left"/>
            </w:pPr>
            <w:r>
              <w:t xml:space="preserve">智能储药柜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互联网医院+远程审方</w:t>
            </w:r>
          </w:p>
        </w:tc>
        <w:tc>
          <w:tcPr/>
          <w:p>
            <w:pPr>
              <w:pStyle w:val="Compact"/>
              <w:jc w:val="center"/>
            </w:pPr>
            <w:r>
              <w:t xml:space="preserve">—</w:t>
            </w:r>
          </w:p>
        </w:tc>
        <w:tc>
          <w:tcPr/>
          <w:p>
            <w:pPr>
              <w:pStyle w:val="Compact"/>
              <w:jc w:val="left"/>
            </w:pPr>
            <w:r>
              <w:t xml:space="preserve">烟市监字〔2023〕38号，2023.03</w:t>
            </w:r>
            <w:r>
              <w:t xml:space="preserve"> </w:t>
            </w:r>
            <w:fldSimple w:instr="NOTEREF _Ref_Footnote_37 \h \f">
              <w:r>
                <w:rPr>
                  <w:vertAlign w:val="superscript"/>
                </w:rPr>
                <w:t>37</w:t>
              </w:r>
            </w:fldSimple>
          </w:p>
        </w:tc>
      </w:tr>
      <w:tr>
        <w:tc>
          <w:tcPr/>
          <w:p>
            <w:pPr>
              <w:pStyle w:val="Compact"/>
              <w:jc w:val="left"/>
            </w:pPr>
            <w:r>
              <w:t xml:space="preserve">积极探索型</w:t>
            </w:r>
          </w:p>
        </w:tc>
        <w:tc>
          <w:tcPr/>
          <w:p>
            <w:pPr>
              <w:pStyle w:val="Compact"/>
              <w:jc w:val="left"/>
            </w:pPr>
            <w:r>
              <w:t xml:space="preserve">湖南永州</w:t>
            </w:r>
          </w:p>
        </w:tc>
        <w:tc>
          <w:tcPr/>
          <w:p>
            <w:pPr>
              <w:pStyle w:val="Compact"/>
              <w:jc w:val="left"/>
            </w:pPr>
            <w:r>
              <w:t xml:space="preserve">自动售药机</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对接医疗机构/互联网医院+远程审方</w:t>
            </w:r>
          </w:p>
        </w:tc>
        <w:tc>
          <w:tcPr/>
          <w:p>
            <w:pPr>
              <w:pStyle w:val="Compact"/>
              <w:jc w:val="center"/>
            </w:pPr>
            <w:r>
              <w:t xml:space="preserve">—</w:t>
            </w:r>
          </w:p>
        </w:tc>
        <w:tc>
          <w:tcPr/>
          <w:p>
            <w:pPr>
              <w:pStyle w:val="Compact"/>
              <w:jc w:val="left"/>
            </w:pPr>
            <w:r>
              <w:t xml:space="preserve">2022.01试行</w:t>
            </w:r>
            <w:r>
              <w:t xml:space="preserve"> </w:t>
            </w:r>
            <w:fldSimple w:instr="NOTEREF _Ref_Footnote_38 \h \f">
              <w:r>
                <w:rPr>
                  <w:vertAlign w:val="superscript"/>
                </w:rPr>
                <w:t>38</w:t>
              </w:r>
            </w:fldSimple>
          </w:p>
        </w:tc>
      </w:tr>
      <w:tr>
        <w:tc>
          <w:tcPr/>
          <w:p>
            <w:pPr>
              <w:pStyle w:val="Compact"/>
              <w:jc w:val="left"/>
            </w:pPr>
            <w:r>
              <w:t xml:space="preserve">积极探索型</w:t>
            </w:r>
          </w:p>
        </w:tc>
        <w:tc>
          <w:tcPr/>
          <w:p>
            <w:pPr>
              <w:pStyle w:val="Compact"/>
              <w:jc w:val="left"/>
            </w:pPr>
            <w:r>
              <w:t xml:space="preserve">湖北</w:t>
            </w:r>
          </w:p>
        </w:tc>
        <w:tc>
          <w:tcPr/>
          <w:p>
            <w:pPr>
              <w:pStyle w:val="Compact"/>
              <w:jc w:val="left"/>
            </w:pPr>
            <w:r>
              <w:t xml:space="preserve">远程药柜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✓（高级）</w:t>
            </w:r>
          </w:p>
        </w:tc>
        <w:tc>
          <w:tcPr/>
          <w:p>
            <w:pPr>
              <w:pStyle w:val="Compact"/>
              <w:jc w:val="center"/>
            </w:pPr>
            <w:r>
              <w:t xml:space="preserve">必需；备案管理</w:t>
            </w:r>
          </w:p>
        </w:tc>
        <w:tc>
          <w:tcPr/>
          <w:p>
            <w:pPr>
              <w:pStyle w:val="Compact"/>
              <w:jc w:val="center"/>
            </w:pPr>
            <w:r>
              <w:t xml:space="preserve">—</w:t>
            </w:r>
          </w:p>
        </w:tc>
        <w:tc>
          <w:tcPr/>
          <w:p>
            <w:pPr>
              <w:pStyle w:val="Compact"/>
              <w:jc w:val="left"/>
            </w:pPr>
            <w:r>
              <w:t xml:space="preserve">鄂药监发〔2021〕27号，2021.11</w:t>
            </w:r>
            <w:r>
              <w:t xml:space="preserve"> </w:t>
            </w:r>
            <w:fldSimple w:instr="NOTEREF _Ref_Footnote_40 \h \f">
              <w:r>
                <w:rPr>
                  <w:vertAlign w:val="superscript"/>
                </w:rPr>
                <w:t>40</w:t>
              </w:r>
            </w:fldSimple>
          </w:p>
        </w:tc>
      </w:tr>
      <w:tr>
        <w:tc>
          <w:tcPr/>
          <w:p>
            <w:pPr>
              <w:pStyle w:val="Compact"/>
              <w:jc w:val="left"/>
            </w:pPr>
            <w:r>
              <w:t xml:space="preserve">积极探索型</w:t>
            </w:r>
          </w:p>
        </w:tc>
        <w:tc>
          <w:tcPr/>
          <w:p>
            <w:pPr>
              <w:pStyle w:val="Compact"/>
              <w:jc w:val="left"/>
            </w:pPr>
            <w:r>
              <w:t xml:space="preserve">上海浦东</w:t>
            </w:r>
          </w:p>
        </w:tc>
        <w:tc>
          <w:tcPr/>
          <w:p>
            <w:pPr>
              <w:pStyle w:val="Compact"/>
              <w:jc w:val="left"/>
            </w:pPr>
            <w:r>
              <w:t xml:space="preserve">智慧药房（在店）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互联网诊疗+远程审方</w:t>
            </w:r>
          </w:p>
        </w:tc>
        <w:tc>
          <w:tcPr/>
          <w:p>
            <w:pPr>
              <w:pStyle w:val="Compact"/>
              <w:jc w:val="center"/>
            </w:pPr>
            <w:r>
              <w:t xml:space="preserve">—</w:t>
            </w:r>
          </w:p>
        </w:tc>
        <w:tc>
          <w:tcPr/>
          <w:p>
            <w:pPr>
              <w:pStyle w:val="Compact"/>
              <w:jc w:val="left"/>
            </w:pPr>
            <w:r>
              <w:t xml:space="preserve">2023.05试点</w:t>
            </w:r>
            <w:r>
              <w:t xml:space="preserve"> </w:t>
            </w:r>
            <w:r>
              <w:rPr>
                <w:vertAlign w:val="superscript"/>
              </w:rPr>
              <w:footnoteReference w:id="44"/>
            </w:r>
          </w:p>
        </w:tc>
      </w:tr>
      <w:tr>
        <w:tc>
          <w:tcPr/>
          <w:p>
            <w:pPr>
              <w:pStyle w:val="Compact"/>
              <w:jc w:val="left"/>
            </w:pPr>
            <w:r>
              <w:t xml:space="preserve">积极探索型</w:t>
            </w:r>
          </w:p>
        </w:tc>
        <w:tc>
          <w:tcPr/>
          <w:p>
            <w:pPr>
              <w:pStyle w:val="Compact"/>
              <w:jc w:val="left"/>
            </w:pPr>
            <w:r>
              <w:t xml:space="preserve">上海</w:t>
            </w:r>
          </w:p>
        </w:tc>
        <w:tc>
          <w:tcPr/>
          <w:p>
            <w:pPr>
              <w:pStyle w:val="Compact"/>
              <w:jc w:val="left"/>
            </w:pPr>
            <w:r>
              <w:t xml:space="preserve">智慧药柜（离店）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2024.08细则</w:t>
            </w:r>
            <w:r>
              <w:t xml:space="preserve"> </w:t>
            </w:r>
            <w:fldSimple w:instr="NOTEREF _Ref_Footnote_39 \h \f">
              <w:r>
                <w:rPr>
                  <w:vertAlign w:val="superscript"/>
                </w:rPr>
                <w:t>39</w:t>
              </w:r>
            </w:fldSimple>
          </w:p>
        </w:tc>
      </w:tr>
      <w:tr>
        <w:tc>
          <w:tcPr/>
          <w:p>
            <w:pPr>
              <w:pStyle w:val="Compact"/>
              <w:jc w:val="left"/>
            </w:pPr>
            <w:r>
              <w:t xml:space="preserve">积极探索型</w:t>
            </w:r>
          </w:p>
        </w:tc>
        <w:tc>
          <w:tcPr/>
          <w:p>
            <w:pPr>
              <w:pStyle w:val="Compact"/>
              <w:jc w:val="left"/>
            </w:pPr>
            <w:r>
              <w:t xml:space="preserve">河北</w:t>
            </w:r>
          </w:p>
        </w:tc>
        <w:tc>
          <w:tcPr/>
          <w:p>
            <w:pPr>
              <w:pStyle w:val="Compact"/>
              <w:jc w:val="left"/>
            </w:pPr>
            <w:r>
              <w:t xml:space="preserve">自助药房（双通道）</w:t>
            </w:r>
          </w:p>
        </w:tc>
        <w:tc>
          <w:tcPr/>
          <w:p>
            <w:pPr>
              <w:pStyle w:val="Compact"/>
              <w:jc w:val="center"/>
            </w:pPr>
            <w:r>
              <w:t xml:space="preserve">✓</w:t>
            </w:r>
          </w:p>
        </w:tc>
        <w:tc>
          <w:tcPr/>
          <w:p>
            <w:pPr>
              <w:pStyle w:val="Compact"/>
              <w:jc w:val="center"/>
            </w:pPr>
            <w:r>
              <w:t xml:space="preserve">✓</w:t>
            </w:r>
          </w:p>
        </w:tc>
        <w:tc>
          <w:tcPr/>
          <w:p>
            <w:pPr>
              <w:pStyle w:val="Compact"/>
              <w:jc w:val="center"/>
            </w:pPr>
            <w:r>
              <w:t xml:space="preserve">✓（国谈药/慢病）</w:t>
            </w:r>
          </w:p>
        </w:tc>
        <w:tc>
          <w:tcPr/>
          <w:p>
            <w:pPr>
              <w:pStyle w:val="Compact"/>
              <w:jc w:val="center"/>
            </w:pPr>
            <w:r>
              <w:t xml:space="preserve">接入国家医保处方流转中心</w:t>
            </w:r>
          </w:p>
        </w:tc>
        <w:tc>
          <w:tcPr/>
          <w:p>
            <w:pPr>
              <w:pStyle w:val="Compact"/>
              <w:jc w:val="center"/>
            </w:pPr>
            <w:r>
              <w:rPr>
                <w:b/>
                <w:bCs/>
              </w:rPr>
              <w:t xml:space="preserve">可医保结算</w:t>
            </w:r>
          </w:p>
        </w:tc>
        <w:tc>
          <w:tcPr/>
          <w:p>
            <w:pPr>
              <w:pStyle w:val="Compact"/>
              <w:jc w:val="left"/>
            </w:pPr>
            <w:r>
              <w:t xml:space="preserve">冀医保办〔2023〕36号，2023.10</w:t>
            </w:r>
            <w:r>
              <w:t xml:space="preserve"> </w:t>
            </w:r>
            <w:fldSimple w:instr="NOTEREF _Ref_Footnote_41 \h \f">
              <w:r>
                <w:rPr>
                  <w:vertAlign w:val="superscript"/>
                </w:rPr>
                <w:t>41</w:t>
              </w:r>
            </w:fldSimple>
          </w:p>
        </w:tc>
      </w:tr>
    </w:tbl>
    <w:p>
      <w:pPr>
        <w:pStyle w:val="BodyText"/>
      </w:pPr>
      <w:r>
        <w:t xml:space="preserve">上表揭示了三档分化背后的监管逻辑差异。严格保守型省份将48号公告视为不可逾越的上限，政策设计聚焦于”便民服务”而非”销售创新”；适度放开型省份承认远程药学服务的合规性，将其延伸至甲类OTC，但未触碰处方药红线；积极探索型省份则通过设施重定义（智慧药房≠自助售药机），将自动售药设备重新定位为”互联网医院的线下处方交付终端”，从而绕过48号公告对”自助售药机”的限定。值得注意的是，积极探索型省份无一例外地将”处方来源真实可靠”和”执业药师远程审方”作为刚性前置条件，这与2026年5月国家药监局《处方药网络零售合规指南》</w:t>
      </w:r>
      <w:r>
        <w:t xml:space="preserve">“</w:t>
      </w:r>
      <w:r>
        <w:t xml:space="preserve">凭处方、严审核、可追溯、控风险</w:t>
      </w:r>
      <w:r>
        <w:t xml:space="preserve">”</w:t>
      </w:r>
      <w:r>
        <w:t xml:space="preserve">的核心要求高度一致</w:t>
      </w:r>
      <w:r>
        <w:rPr>
          <w:vertAlign w:val="superscript"/>
        </w:rPr>
        <w:footnoteReference w:id="45"/>
      </w:r>
      <w:r>
        <w:t xml:space="preserve">，说明地方创新并非无序突破，而是在国家处方药网售合规框架内的延伸探索。</w:t>
      </w:r>
    </w:p>
    <w:bookmarkEnd w:id="53"/>
    <w:bookmarkEnd w:id="54"/>
    <w:bookmarkStart w:id="58" w:name="关键争议智慧药房售处方药与48号公告的合规性"/>
    <w:p>
      <w:pPr>
        <w:pStyle w:val="Heading3"/>
      </w:pPr>
      <w:r>
        <w:t xml:space="preserve">3.2 关键争议：智慧药房售处方药与48号公告的合规性</w:t>
      </w:r>
    </w:p>
    <w:bookmarkStart w:id="55" w:name="山西的概念区分策略"/>
    <w:p>
      <w:pPr>
        <w:pStyle w:val="Heading4"/>
      </w:pPr>
      <w:r>
        <w:t xml:space="preserve">3.2.1 山西的”概念区分”策略</w:t>
      </w:r>
    </w:p>
    <w:p>
      <w:pPr>
        <w:pStyle w:val="FirstParagraph"/>
      </w:pPr>
      <w:r>
        <w:t xml:space="preserve">山西省2026年新规的核心创新在于对三类售药设施的精确定义和严格区分。药品销售专柜被定义为物理陈列柜，自助售药机被定义为自动化自助购买设备，而智慧药房（柜）则被赋予了三重属性：互联网诊疗能力、远程药学服务能力和GSP（《药品经营质量管理规范》）专人管理</w:t>
      </w:r>
      <w:fldSimple w:instr="NOTEREF _Ref_Footnote_10 \h \f">
        <w:r>
          <w:rPr>
            <w:vertAlign w:val="superscript"/>
          </w:rPr>
          <w:t>10</w:t>
        </w:r>
      </w:fldSimple>
      <w:r>
        <w:t xml:space="preserve">。从法律性质上看，山西定义的智慧药房（柜）更接近”配备远程药师的实体药店延伸终端”，而非48号公告所禁止的”无人值守的自助售药机”。</w:t>
      </w:r>
    </w:p>
    <w:p>
      <w:pPr>
        <w:pStyle w:val="BodyText"/>
      </w:pPr>
      <w:r>
        <w:t xml:space="preserve">这一”概念区分”策略的技术支撑是明确的。智慧药房（柜）须对接互联网医院、电子处方流转平台和电子医保系统，须由执业药师完成处方审核，须由专人按GSP要求进行日常管理，且销售记录须纳入企业计算机系统统一管理。这些技术要求使智慧药房（柜）在运营实质上与”互联网+实体药店”的融合模式并无本质差异，其”自动调配”环节只是替代了人工取货动作，而非替代了处方审核和用药指导环节。山西在附则中进一步规定”国家有新规定的，依国家规定”</w:t>
      </w:r>
      <w:fldSimple w:instr="NOTEREF _Ref_Footnote_10 \h \f">
        <w:r>
          <w:rPr>
            <w:vertAlign w:val="superscript"/>
          </w:rPr>
          <w:t>10</w:t>
        </w:r>
      </w:fldSimple>
      <w:r>
        <w:t xml:space="preserve">，为后续可能的政策调整预留了安全阀。</w:t>
      </w:r>
    </w:p>
    <w:bookmarkEnd w:id="55"/>
    <w:bookmarkStart w:id="56" w:name="字面合规与上位法风险"/>
    <w:p>
      <w:pPr>
        <w:pStyle w:val="Heading4"/>
      </w:pPr>
      <w:r>
        <w:t xml:space="preserve">3.2.2 字面合规与上位法风险</w:t>
      </w:r>
    </w:p>
    <w:p>
      <w:pPr>
        <w:pStyle w:val="FirstParagraph"/>
      </w:pPr>
      <w:r>
        <w:t xml:space="preserve">从严格的法律解释角度，48号公告的禁止对象是”自助售药机”，而山西允许售处方药的是”智慧药房（柜）</w:t>
      </w:r>
      <w:r>
        <w:t xml:space="preserve">“</w:t>
      </w:r>
      <w:r>
        <w:t xml:space="preserve">，两者在定义文本上确属不同概念。48号公告未对</w:t>
      </w:r>
      <w:r>
        <w:t xml:space="preserve">”</w:t>
      </w:r>
      <w:r>
        <w:t xml:space="preserve">智慧药房”进行任何定义或规范，也未使用”自动售药设备”</w:t>
      </w:r>
      <w:r>
        <w:t xml:space="preserve">“</w:t>
      </w:r>
      <w:r>
        <w:t xml:space="preserve">无人售药设施</w:t>
      </w:r>
      <w:r>
        <w:t xml:space="preserve">”</w:t>
      </w:r>
      <w:r>
        <w:t xml:space="preserve">等上位概念。因此，山西的”概念区分”在现行法规的字面框架下具有逻辑自洽性</w:t>
      </w:r>
      <w:r>
        <w:rPr>
          <w:vertAlign w:val="superscript"/>
        </w:rPr>
        <w:footnoteReference w:id="46"/>
      </w:r>
      <w:r>
        <w:t xml:space="preserve">。</w:t>
      </w:r>
    </w:p>
    <w:p>
      <w:pPr>
        <w:pStyle w:val="BodyText"/>
      </w:pPr>
      <w:r>
        <w:t xml:space="preserve">然而，从监管实质角度，争议依然存在。智慧药房（柜）的核心流程是”患者在线问诊→医生开方→远程药师审方→自动设备调配→患者自取/骑手配送”，在这一过程中，患者与执业药师之间不存在面对面交流，与48号公告禁止自助售药机售处方药的监管精神——即”缺乏现场药学服务的自动设备不应承担处方药销售终端职能”——存在某种程度的张力。若国家药监局未来出台统一规范，明确将”智慧药房（柜）</w:t>
      </w:r>
      <w:r>
        <w:t xml:space="preserve">“</w:t>
      </w:r>
      <w:r>
        <w:t xml:space="preserve">纳入</w:t>
      </w:r>
      <w:r>
        <w:t xml:space="preserve">”</w:t>
      </w:r>
      <w:r>
        <w:t xml:space="preserve">自助售药机”或”自动售药设备”范畴统一管理，山西政策可能面临下位法与上位法冲突的调整压力</w:t>
      </w:r>
      <w:r>
        <w:rPr>
          <w:vertAlign w:val="superscript"/>
        </w:rPr>
        <w:footnoteReference w:id="47"/>
      </w:r>
      <w:r>
        <w:t xml:space="preserve">。这一风险已被山西政策制定者预判，并通过第六十二条保留条款进行了缓冲。</w:t>
      </w:r>
    </w:p>
    <w:bookmarkEnd w:id="56"/>
    <w:bookmarkStart w:id="57" w:name="年8月征求意见稿引发的行业争议"/>
    <w:p>
      <w:pPr>
        <w:pStyle w:val="Heading4"/>
      </w:pPr>
      <w:r>
        <w:t xml:space="preserve">3.2.3 2025年8月征求意见稿引发的行业争议</w:t>
      </w:r>
    </w:p>
    <w:p>
      <w:pPr>
        <w:pStyle w:val="FirstParagraph"/>
      </w:pPr>
      <w:r>
        <w:t xml:space="preserve">山西并非唯一面临争议的地区。2025年8月，国内某城市（以下简称”A市”）市场监督管理局发布《药品零售企业设置自助售（取）药机管理暂行规定（征求意见稿）》，其中提出”自助取药机可领取处方药、甲类非处方药”，在药店行业引发强烈反响</w:t>
      </w:r>
      <w:r>
        <w:rPr>
          <w:vertAlign w:val="superscript"/>
        </w:rPr>
        <w:footnoteReference w:id="48"/>
      </w:r>
      <w:r>
        <w:t xml:space="preserve">。A市市场监管局后续回应称，该文件处于面向个别零售企业的内部酝酿征询阶段，过程性信息不予公开，但争议已在公开层面迅速扩散。</w:t>
      </w:r>
    </w:p>
    <w:p>
      <w:pPr>
        <w:pStyle w:val="BodyText"/>
      </w:pPr>
      <w:r>
        <w:t xml:space="preserve">行业争议集中在两个维度。一是用药安全维度：全国工商联医药业商会专家晁宁指出，按照现行药品管理规定，开具处方药需要有效处方，发放处方药需要执业药师进行二次核对，确保处方与药物完全一致并告知消费者用药须知，但自助取药机的”开方环节不透明、难监管，审方环节也可能消失”</w:t>
      </w:r>
      <w:fldSimple w:instr="NOTEREF _Ref_Footnote_48 \h \f">
        <w:r>
          <w:rPr>
            <w:vertAlign w:val="superscript"/>
          </w:rPr>
          <w:t>48</w:t>
        </w:r>
      </w:fldSimple>
      <w:r>
        <w:t xml:space="preserve">。一家头部大型连锁药房董事长更是直言：</w:t>
      </w:r>
      <w:r>
        <w:t xml:space="preserve">“</w:t>
      </w:r>
      <w:r>
        <w:t xml:space="preserve">自助机卖或取处方药，不仅不安全，而且违规。</w:t>
      </w:r>
      <w:r>
        <w:t xml:space="preserve">”</w:t>
      </w:r>
      <w:r>
        <w:t xml:space="preserve">二是公平竞争维度：实体药店单店月均人力成本近2万元，而单台自助机年运营成本仅约数千元，且无需配备常驻执业药师，若允许其销售处方药，将对实体药店形成不对称成本竞争</w:t>
      </w:r>
      <w:fldSimple w:instr="NOTEREF _Ref_Footnote_48 \h \f">
        <w:r>
          <w:rPr>
            <w:vertAlign w:val="superscript"/>
          </w:rPr>
          <w:t>48</w:t>
        </w:r>
      </w:fldSimple>
      <w:r>
        <w:t xml:space="preserve">。</w:t>
      </w:r>
    </w:p>
    <w:p>
      <w:pPr>
        <w:pStyle w:val="BodyText"/>
      </w:pPr>
      <w:r>
        <w:t xml:space="preserve">A市征求意见稿与山西政策的关键差异在于概念清晰度。山西将”智慧药房（柜）</w:t>
      </w:r>
      <w:r>
        <w:t xml:space="preserve">“</w:t>
      </w:r>
      <w:r>
        <w:t xml:space="preserve">与</w:t>
      </w:r>
      <w:r>
        <w:t xml:space="preserve">”</w:t>
      </w:r>
      <w:r>
        <w:t xml:space="preserve">自助售药机”严格区分，并赋予前者完整的互联网诊疗和远程审方定义；而A市的”自助取药机”在概念上更接近48号公告所禁止的”自助售药机”范畴，其试图以”取药”而非”售药”来规避禁止性规定的策略，在监管逻辑上显得较为薄弱。这一争议从侧面印证了山西”概念区分”策略的合理性——在法规空白地带进行创新，精确定义是比模糊措辞更安全的立法技术。</w:t>
      </w:r>
    </w:p>
    <w:bookmarkEnd w:id="57"/>
    <w:bookmarkEnd w:id="58"/>
    <w:bookmarkStart w:id="61" w:name="技术标准与医保对接现状"/>
    <w:p>
      <w:pPr>
        <w:pStyle w:val="Heading3"/>
      </w:pPr>
      <w:r>
        <w:t xml:space="preserve">3.3 技术标准与医保对接现状</w:t>
      </w:r>
    </w:p>
    <w:bookmarkStart w:id="59" w:name="地方标准先行全国统一标准缺失"/>
    <w:p>
      <w:pPr>
        <w:pStyle w:val="Heading4"/>
      </w:pPr>
      <w:r>
        <w:t xml:space="preserve">3.3.1 地方标准先行，全国统一标准缺失</w:t>
      </w:r>
    </w:p>
    <w:p>
      <w:pPr>
        <w:pStyle w:val="FirstParagraph"/>
      </w:pPr>
      <w:r>
        <w:t xml:space="preserve">智慧药房（柜）的技术标准体系目前呈现出”地方先行、区域协同、国家标准缺位”的特征。2022年7月，沪苏浙皖四省市市场监管局联合发布长三角区域地方标准《智慧药房评价体系》（DB31/32/33/34 T 310011-2022），提出2个一级指标、6个二级指标和46个三级指标，涵盖药房管理、处方审核、药品冷链管理、互联网医院电子处方和药品配送等领域</w:t>
      </w:r>
      <w:r>
        <w:rPr>
          <w:vertAlign w:val="superscript"/>
        </w:rPr>
        <w:footnoteReference w:id="49"/>
      </w:r>
      <w:r>
        <w:t xml:space="preserve">。这是目前中国覆盖范围最广、体系化程度最高的智慧药房评价标准，但其适用对象以医疗机构智慧药房为主，对零售药店智慧药房（柜）的针对性有限。</w:t>
      </w:r>
    </w:p>
    <w:p>
      <w:pPr>
        <w:pStyle w:val="BodyText"/>
      </w:pPr>
      <w:r>
        <w:t xml:space="preserve">在省级层面，安徽省2021年2月发布了《智慧药房建设指南》（DB34/T 3790-2021）和《智慧药房验收规范》（DB34/T 3791-2021），适用于医疗机构智慧药房建设；浙江省2025年8月将湖州市级标准《零售智慧药房建设与管理规范》（DB3305/T 228-2022）升级为省级地方标准（DB33/T 1445-2025），2025年9月29日施行，这是目前全国首个专门针对零售药店智慧药房的地方标准，规定了建设要求、服务流程、管理要求和评价改进等内容</w:t>
      </w:r>
      <w:r>
        <w:rPr>
          <w:vertAlign w:val="superscript"/>
        </w:rPr>
        <w:footnoteReference w:id="50"/>
      </w:r>
      <w:r>
        <w:t xml:space="preserve">。此外，安徽省还于2023年7月发布了《智慧处方审核技术规范》（DB34/T 4502-2023），为远程审方提供了技术基准。</w:t>
      </w:r>
    </w:p>
    <w:p>
      <w:pPr>
        <w:pStyle w:val="BodyText"/>
      </w:pPr>
      <w:r>
        <w:rPr>
          <w:b/>
          <w:bCs/>
        </w:rPr>
        <w:t xml:space="preserve">表2 主要智慧药房（柜）地方标准与医保对接现状对比</w:t>
      </w:r>
    </w:p>
    <w:tbl>
      <w:tblPr>
        <w:tblStyle w:val="Table"/>
        <w:tblW w:type="pct" w:w="5000"/>
        <w:jc w:val="start"/>
        <w:tblLayout w:type="fixed"/>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标准/政策层级</w:t>
            </w:r>
          </w:p>
        </w:tc>
        <w:tc>
          <w:tcPr/>
          <w:p>
            <w:pPr>
              <w:pStyle w:val="Compact"/>
              <w:jc w:val="left"/>
            </w:pPr>
            <w:r>
              <w:t xml:space="preserve">地区</w:t>
            </w:r>
          </w:p>
        </w:tc>
        <w:tc>
          <w:tcPr/>
          <w:p>
            <w:pPr>
              <w:pStyle w:val="Compact"/>
              <w:jc w:val="left"/>
            </w:pPr>
            <w:r>
              <w:t xml:space="preserve">标准编号/文件</w:t>
            </w:r>
          </w:p>
        </w:tc>
        <w:tc>
          <w:tcPr/>
          <w:p>
            <w:pPr>
              <w:pStyle w:val="Compact"/>
              <w:jc w:val="left"/>
            </w:pPr>
            <w:r>
              <w:t xml:space="preserve">适用对象</w:t>
            </w:r>
          </w:p>
        </w:tc>
        <w:tc>
          <w:tcPr/>
          <w:p>
            <w:pPr>
              <w:pStyle w:val="Compact"/>
              <w:jc w:val="left"/>
            </w:pPr>
            <w:r>
              <w:t xml:space="preserve">核心指标/要求</w:t>
            </w:r>
          </w:p>
        </w:tc>
        <w:tc>
          <w:tcPr/>
          <w:p>
            <w:pPr>
              <w:pStyle w:val="Compact"/>
              <w:jc w:val="left"/>
            </w:pPr>
            <w:r>
              <w:t xml:space="preserve">医保对接情况</w:t>
            </w:r>
          </w:p>
        </w:tc>
        <w:tc>
          <w:tcPr/>
          <w:p>
            <w:pPr>
              <w:pStyle w:val="Compact"/>
              <w:jc w:val="left"/>
            </w:pPr>
            <w:r>
              <w:t xml:space="preserve">发布时间</w:t>
            </w:r>
          </w:p>
        </w:tc>
      </w:tr>
      <w:tr>
        <w:tc>
          <w:tcPr/>
          <w:p>
            <w:pPr>
              <w:pStyle w:val="Compact"/>
              <w:jc w:val="left"/>
            </w:pPr>
            <w:r>
              <w:t xml:space="preserve">长三角区域标准</w:t>
            </w:r>
          </w:p>
        </w:tc>
        <w:tc>
          <w:tcPr/>
          <w:p>
            <w:pPr>
              <w:pStyle w:val="Compact"/>
              <w:jc w:val="left"/>
            </w:pPr>
            <w:r>
              <w:t xml:space="preserve">沪苏浙皖</w:t>
            </w:r>
          </w:p>
        </w:tc>
        <w:tc>
          <w:tcPr/>
          <w:p>
            <w:pPr>
              <w:pStyle w:val="Compact"/>
              <w:jc w:val="left"/>
            </w:pPr>
            <w:r>
              <w:t xml:space="preserve">DB31/32/33/34 T 310011-2022</w:t>
            </w:r>
          </w:p>
        </w:tc>
        <w:tc>
          <w:tcPr/>
          <w:p>
            <w:pPr>
              <w:pStyle w:val="Compact"/>
              <w:jc w:val="left"/>
            </w:pPr>
            <w:r>
              <w:t xml:space="preserve">医疗机构智慧药房</w:t>
            </w:r>
          </w:p>
        </w:tc>
        <w:tc>
          <w:tcPr/>
          <w:p>
            <w:pPr>
              <w:pStyle w:val="Compact"/>
              <w:jc w:val="left"/>
            </w:pPr>
            <w:r>
              <w:t xml:space="preserve">46项三级指标；药房管理、处方审核、冷链、电子处方、配送</w:t>
            </w:r>
          </w:p>
        </w:tc>
        <w:tc>
          <w:tcPr/>
          <w:p>
            <w:pPr>
              <w:pStyle w:val="Compact"/>
              <w:jc w:val="left"/>
            </w:pPr>
            <w:r>
              <w:t xml:space="preserve">未明确</w:t>
            </w:r>
          </w:p>
        </w:tc>
        <w:tc>
          <w:tcPr/>
          <w:p>
            <w:pPr>
              <w:pStyle w:val="Compact"/>
              <w:jc w:val="left"/>
            </w:pPr>
            <w:r>
              <w:t xml:space="preserve">2022.07</w:t>
            </w:r>
            <w:r>
              <w:t xml:space="preserve"> </w:t>
            </w:r>
            <w:fldSimple w:instr="NOTEREF _Ref_Footnote_49 \h \f">
              <w:r>
                <w:rPr>
                  <w:vertAlign w:val="superscript"/>
                </w:rPr>
                <w:t>49</w:t>
              </w:r>
            </w:fldSimple>
          </w:p>
        </w:tc>
      </w:tr>
      <w:tr>
        <w:tc>
          <w:tcPr/>
          <w:p>
            <w:pPr>
              <w:pStyle w:val="Compact"/>
              <w:jc w:val="left"/>
            </w:pPr>
            <w:r>
              <w:t xml:space="preserve">安徽省地方标准</w:t>
            </w:r>
          </w:p>
        </w:tc>
        <w:tc>
          <w:tcPr/>
          <w:p>
            <w:pPr>
              <w:pStyle w:val="Compact"/>
              <w:jc w:val="left"/>
            </w:pPr>
            <w:r>
              <w:t xml:space="preserve">安徽</w:t>
            </w:r>
          </w:p>
        </w:tc>
        <w:tc>
          <w:tcPr/>
          <w:p>
            <w:pPr>
              <w:pStyle w:val="Compact"/>
              <w:jc w:val="left"/>
            </w:pPr>
            <w:r>
              <w:t xml:space="preserve">DB34/T 3790-2021、3791-2021</w:t>
            </w:r>
          </w:p>
        </w:tc>
        <w:tc>
          <w:tcPr/>
          <w:p>
            <w:pPr>
              <w:pStyle w:val="Compact"/>
              <w:jc w:val="left"/>
            </w:pPr>
            <w:r>
              <w:t xml:space="preserve">医疗机构智慧药房</w:t>
            </w:r>
          </w:p>
        </w:tc>
        <w:tc>
          <w:tcPr/>
          <w:p>
            <w:pPr>
              <w:pStyle w:val="Compact"/>
              <w:jc w:val="left"/>
            </w:pPr>
            <w:r>
              <w:t xml:space="preserve">建设指南+验收规范；业务信息化、设备自动化、环境智能化</w:t>
            </w:r>
          </w:p>
        </w:tc>
        <w:tc>
          <w:tcPr/>
          <w:p>
            <w:pPr>
              <w:pStyle w:val="Compact"/>
              <w:jc w:val="left"/>
            </w:pPr>
            <w:r>
              <w:t xml:space="preserve">未明确</w:t>
            </w:r>
          </w:p>
        </w:tc>
        <w:tc>
          <w:tcPr/>
          <w:p>
            <w:pPr>
              <w:pStyle w:val="Compact"/>
              <w:jc w:val="left"/>
            </w:pPr>
            <w:r>
              <w:t xml:space="preserve">2021.02</w:t>
            </w:r>
            <w:r>
              <w:t xml:space="preserve"> </w:t>
            </w:r>
            <w:r>
              <w:rPr>
                <w:vertAlign w:val="superscript"/>
              </w:rPr>
              <w:footnoteReference w:id="51"/>
            </w:r>
          </w:p>
        </w:tc>
      </w:tr>
      <w:tr>
        <w:tc>
          <w:tcPr/>
          <w:p>
            <w:pPr>
              <w:pStyle w:val="Compact"/>
              <w:jc w:val="left"/>
            </w:pPr>
            <w:r>
              <w:t xml:space="preserve">浙江省地方标准</w:t>
            </w:r>
          </w:p>
        </w:tc>
        <w:tc>
          <w:tcPr/>
          <w:p>
            <w:pPr>
              <w:pStyle w:val="Compact"/>
              <w:jc w:val="left"/>
            </w:pPr>
            <w:r>
              <w:t xml:space="preserve">浙江</w:t>
            </w:r>
          </w:p>
        </w:tc>
        <w:tc>
          <w:tcPr/>
          <w:p>
            <w:pPr>
              <w:pStyle w:val="Compact"/>
              <w:jc w:val="left"/>
            </w:pPr>
            <w:r>
              <w:t xml:space="preserve">DB33/T 1445-2025</w:t>
            </w:r>
          </w:p>
        </w:tc>
        <w:tc>
          <w:tcPr/>
          <w:p>
            <w:pPr>
              <w:pStyle w:val="Compact"/>
              <w:jc w:val="left"/>
            </w:pPr>
            <w:r>
              <w:t xml:space="preserve">零售药店智慧药房</w:t>
            </w:r>
          </w:p>
        </w:tc>
        <w:tc>
          <w:tcPr/>
          <w:p>
            <w:pPr>
              <w:pStyle w:val="Compact"/>
              <w:jc w:val="left"/>
            </w:pPr>
            <w:r>
              <w:t xml:space="preserve">建设要求、服务流程、管理要求、评价改进；对接互联网+医院、电子处方流转、电子医保</w:t>
            </w:r>
          </w:p>
        </w:tc>
        <w:tc>
          <w:tcPr/>
          <w:p>
            <w:pPr>
              <w:pStyle w:val="Compact"/>
              <w:jc w:val="left"/>
            </w:pPr>
            <w:r>
              <w:t xml:space="preserve">明确要求对接电子医保系统</w:t>
            </w:r>
          </w:p>
        </w:tc>
        <w:tc>
          <w:tcPr/>
          <w:p>
            <w:pPr>
              <w:pStyle w:val="Compact"/>
              <w:jc w:val="left"/>
            </w:pPr>
            <w:r>
              <w:t xml:space="preserve">2025.09</w:t>
            </w:r>
            <w:r>
              <w:t xml:space="preserve"> </w:t>
            </w:r>
            <w:fldSimple w:instr="NOTEREF _Ref_Footnote_50 \h \f">
              <w:r>
                <w:rPr>
                  <w:vertAlign w:val="superscript"/>
                </w:rPr>
                <w:t>50</w:t>
              </w:r>
            </w:fldSimple>
          </w:p>
        </w:tc>
      </w:tr>
      <w:tr>
        <w:tc>
          <w:tcPr/>
          <w:p>
            <w:pPr>
              <w:pStyle w:val="Compact"/>
              <w:jc w:val="left"/>
            </w:pPr>
            <w:r>
              <w:t xml:space="preserve">安徽省地方标准</w:t>
            </w:r>
          </w:p>
        </w:tc>
        <w:tc>
          <w:tcPr/>
          <w:p>
            <w:pPr>
              <w:pStyle w:val="Compact"/>
              <w:jc w:val="left"/>
            </w:pPr>
            <w:r>
              <w:t xml:space="preserve">安徽</w:t>
            </w:r>
          </w:p>
        </w:tc>
        <w:tc>
          <w:tcPr/>
          <w:p>
            <w:pPr>
              <w:pStyle w:val="Compact"/>
              <w:jc w:val="left"/>
            </w:pPr>
            <w:r>
              <w:t xml:space="preserve">DB34/T 4502-2023</w:t>
            </w:r>
          </w:p>
        </w:tc>
        <w:tc>
          <w:tcPr/>
          <w:p>
            <w:pPr>
              <w:pStyle w:val="Compact"/>
              <w:jc w:val="left"/>
            </w:pPr>
            <w:r>
              <w:t xml:space="preserve">智慧处方审核</w:t>
            </w:r>
          </w:p>
        </w:tc>
        <w:tc>
          <w:tcPr/>
          <w:p>
            <w:pPr>
              <w:pStyle w:val="Compact"/>
              <w:jc w:val="left"/>
            </w:pPr>
            <w:r>
              <w:t xml:space="preserve">技术规范；远程审方流程、质量要求</w:t>
            </w:r>
          </w:p>
        </w:tc>
        <w:tc>
          <w:tcPr/>
          <w:p>
            <w:pPr>
              <w:pStyle w:val="Compact"/>
              <w:jc w:val="left"/>
            </w:pPr>
            <w:r>
              <w:t xml:space="preserve">未明确</w:t>
            </w:r>
          </w:p>
        </w:tc>
        <w:tc>
          <w:tcPr/>
          <w:p>
            <w:pPr>
              <w:pStyle w:val="Compact"/>
              <w:jc w:val="left"/>
            </w:pPr>
            <w:r>
              <w:t xml:space="preserve">2023.07</w:t>
            </w:r>
            <w:r>
              <w:t xml:space="preserve"> </w:t>
            </w:r>
            <w:r>
              <w:rPr>
                <w:vertAlign w:val="superscript"/>
              </w:rPr>
              <w:footnoteReference w:id="52"/>
            </w:r>
          </w:p>
        </w:tc>
      </w:tr>
      <w:tr>
        <w:tc>
          <w:tcPr/>
          <w:p>
            <w:pPr>
              <w:pStyle w:val="Compact"/>
              <w:jc w:val="left"/>
            </w:pPr>
            <w:r>
              <w:t xml:space="preserve">山西省政策</w:t>
            </w:r>
          </w:p>
        </w:tc>
        <w:tc>
          <w:tcPr/>
          <w:p>
            <w:pPr>
              <w:pStyle w:val="Compact"/>
              <w:jc w:val="left"/>
            </w:pPr>
            <w:r>
              <w:t xml:space="preserve">山西</w:t>
            </w:r>
          </w:p>
        </w:tc>
        <w:tc>
          <w:tcPr/>
          <w:p>
            <w:pPr>
              <w:pStyle w:val="Compact"/>
              <w:jc w:val="left"/>
            </w:pPr>
            <w:r>
              <w:t xml:space="preserve">晋药监规〔2026〕7号</w:t>
            </w:r>
          </w:p>
        </w:tc>
        <w:tc>
          <w:tcPr/>
          <w:p>
            <w:pPr>
              <w:pStyle w:val="Compact"/>
              <w:jc w:val="left"/>
            </w:pPr>
            <w:r>
              <w:t xml:space="preserve">零售药店智慧药房（柜）</w:t>
            </w:r>
          </w:p>
        </w:tc>
        <w:tc>
          <w:tcPr/>
          <w:p>
            <w:pPr>
              <w:pStyle w:val="Compact"/>
              <w:jc w:val="left"/>
            </w:pPr>
            <w:r>
              <w:t xml:space="preserve">互联网诊疗+远程审方+GSP专人管理；温湿度自动监测</w:t>
            </w:r>
          </w:p>
        </w:tc>
        <w:tc>
          <w:tcPr/>
          <w:p>
            <w:pPr>
              <w:pStyle w:val="Compact"/>
              <w:jc w:val="left"/>
            </w:pPr>
            <w:r>
              <w:t xml:space="preserve">未明确（但要求对接电子医保系统）</w:t>
            </w:r>
          </w:p>
        </w:tc>
        <w:tc>
          <w:tcPr/>
          <w:p>
            <w:pPr>
              <w:pStyle w:val="Compact"/>
              <w:jc w:val="left"/>
            </w:pPr>
            <w:r>
              <w:t xml:space="preserve">2026.05</w:t>
            </w:r>
            <w:r>
              <w:t xml:space="preserve"> </w:t>
            </w:r>
            <w:fldSimple w:instr="NOTEREF _Ref_Footnote_10 \h \f">
              <w:r>
                <w:rPr>
                  <w:vertAlign w:val="superscript"/>
                </w:rPr>
                <w:t>10</w:t>
              </w:r>
            </w:fldSimple>
          </w:p>
        </w:tc>
      </w:tr>
      <w:tr>
        <w:tc>
          <w:tcPr/>
          <w:p>
            <w:pPr>
              <w:pStyle w:val="Compact"/>
              <w:jc w:val="left"/>
            </w:pPr>
            <w:r>
              <w:t xml:space="preserve">河北省医保政策</w:t>
            </w:r>
          </w:p>
        </w:tc>
        <w:tc>
          <w:tcPr/>
          <w:p>
            <w:pPr>
              <w:pStyle w:val="Compact"/>
              <w:jc w:val="left"/>
            </w:pPr>
            <w:r>
              <w:t xml:space="preserve">河北</w:t>
            </w:r>
          </w:p>
        </w:tc>
        <w:tc>
          <w:tcPr/>
          <w:p>
            <w:pPr>
              <w:pStyle w:val="Compact"/>
              <w:jc w:val="left"/>
            </w:pPr>
            <w:r>
              <w:t xml:space="preserve">冀医保办〔2023〕36号</w:t>
            </w:r>
          </w:p>
        </w:tc>
        <w:tc>
          <w:tcPr/>
          <w:p>
            <w:pPr>
              <w:pStyle w:val="Compact"/>
              <w:jc w:val="left"/>
            </w:pPr>
            <w:r>
              <w:t xml:space="preserve">门诊保障/双通道药店自助药房</w:t>
            </w:r>
          </w:p>
        </w:tc>
        <w:tc>
          <w:tcPr/>
          <w:p>
            <w:pPr>
              <w:pStyle w:val="Compact"/>
              <w:jc w:val="left"/>
            </w:pPr>
            <w:r>
              <w:t xml:space="preserve">接入国家统一医保信息平台处方流转中心；进销存实时同步</w:t>
            </w:r>
          </w:p>
        </w:tc>
        <w:tc>
          <w:tcPr/>
          <w:p>
            <w:pPr>
              <w:pStyle w:val="Compact"/>
              <w:jc w:val="left"/>
            </w:pPr>
            <w:r>
              <w:rPr>
                <w:b/>
                <w:bCs/>
              </w:rPr>
              <w:t xml:space="preserve">已接入医保结算</w:t>
            </w:r>
          </w:p>
        </w:tc>
        <w:tc>
          <w:tcPr/>
          <w:p>
            <w:pPr>
              <w:pStyle w:val="Compact"/>
              <w:jc w:val="left"/>
            </w:pPr>
            <w:r>
              <w:t xml:space="preserve">2023.10</w:t>
            </w:r>
            <w:r>
              <w:t xml:space="preserve"> </w:t>
            </w:r>
            <w:fldSimple w:instr="NOTEREF _Ref_Footnote_41 \h \f">
              <w:r>
                <w:rPr>
                  <w:vertAlign w:val="superscript"/>
                </w:rPr>
                <w:t>41</w:t>
              </w:r>
            </w:fldSimple>
          </w:p>
        </w:tc>
      </w:tr>
      <w:tr>
        <w:tc>
          <w:tcPr/>
          <w:p>
            <w:pPr>
              <w:pStyle w:val="Compact"/>
              <w:jc w:val="left"/>
            </w:pPr>
            <w:r>
              <w:t xml:space="preserve">湖南省试点</w:t>
            </w:r>
          </w:p>
        </w:tc>
        <w:tc>
          <w:tcPr/>
          <w:p>
            <w:pPr>
              <w:pStyle w:val="Compact"/>
              <w:jc w:val="left"/>
            </w:pPr>
            <w:r>
              <w:t xml:space="preserve">湖南永州</w:t>
            </w:r>
          </w:p>
        </w:tc>
        <w:tc>
          <w:tcPr/>
          <w:p>
            <w:pPr>
              <w:pStyle w:val="Compact"/>
              <w:jc w:val="left"/>
            </w:pPr>
            <w:r>
              <w:t xml:space="preserve">地方试行规定</w:t>
            </w:r>
          </w:p>
        </w:tc>
        <w:tc>
          <w:tcPr/>
          <w:p>
            <w:pPr>
              <w:pStyle w:val="Compact"/>
              <w:jc w:val="left"/>
            </w:pPr>
            <w:r>
              <w:t xml:space="preserve">智慧医保自助药房</w:t>
            </w:r>
          </w:p>
        </w:tc>
        <w:tc>
          <w:tcPr/>
          <w:p>
            <w:pPr>
              <w:pStyle w:val="Compact"/>
              <w:jc w:val="left"/>
            </w:pPr>
            <w:r>
              <w:t xml:space="preserve">终端与医保结算系统无缝对接；恒湿恒温、出药留证、近效期先出</w:t>
            </w:r>
          </w:p>
        </w:tc>
        <w:tc>
          <w:tcPr/>
          <w:p>
            <w:pPr>
              <w:pStyle w:val="Compact"/>
              <w:jc w:val="left"/>
            </w:pPr>
            <w:r>
              <w:rPr>
                <w:b/>
                <w:bCs/>
              </w:rPr>
              <w:t xml:space="preserve">已对接医保结算</w:t>
            </w:r>
          </w:p>
        </w:tc>
        <w:tc>
          <w:tcPr/>
          <w:p>
            <w:pPr>
              <w:pStyle w:val="Compact"/>
              <w:jc w:val="left"/>
            </w:pPr>
            <w:r>
              <w:t xml:space="preserve">2022.01</w:t>
            </w:r>
            <w:r>
              <w:t xml:space="preserve"> </w:t>
            </w:r>
            <w:fldSimple w:instr="NOTEREF _Ref_Footnote_38 \h \f">
              <w:r>
                <w:rPr>
                  <w:vertAlign w:val="superscript"/>
                </w:rPr>
                <w:t>38</w:t>
              </w:r>
            </w:fldSimple>
          </w:p>
        </w:tc>
      </w:tr>
      <w:tr>
        <w:tc>
          <w:tcPr/>
          <w:p>
            <w:pPr>
              <w:pStyle w:val="Compact"/>
              <w:jc w:val="left"/>
            </w:pPr>
            <w:r>
              <w:t xml:space="preserve">上海浦东试点</w:t>
            </w:r>
          </w:p>
        </w:tc>
        <w:tc>
          <w:tcPr/>
          <w:p>
            <w:pPr>
              <w:pStyle w:val="Compact"/>
              <w:jc w:val="left"/>
            </w:pPr>
            <w:r>
              <w:t xml:space="preserve">上海浦东</w:t>
            </w:r>
          </w:p>
        </w:tc>
        <w:tc>
          <w:tcPr/>
          <w:p>
            <w:pPr>
              <w:pStyle w:val="Compact"/>
              <w:jc w:val="left"/>
            </w:pPr>
            <w:r>
              <w:t xml:space="preserve">数字化转型试点方案</w:t>
            </w:r>
          </w:p>
        </w:tc>
        <w:tc>
          <w:tcPr/>
          <w:p>
            <w:pPr>
              <w:pStyle w:val="Compact"/>
              <w:jc w:val="left"/>
            </w:pPr>
            <w:r>
              <w:t xml:space="preserve">24小时智慧药房（数字药仓）</w:t>
            </w:r>
          </w:p>
        </w:tc>
        <w:tc>
          <w:tcPr/>
          <w:p>
            <w:pPr>
              <w:pStyle w:val="Compact"/>
              <w:jc w:val="left"/>
            </w:pPr>
            <w:r>
              <w:t xml:space="preserve">四层安全校验；互联网诊疗+远程审方+自动分拣</w:t>
            </w:r>
          </w:p>
        </w:tc>
        <w:tc>
          <w:tcPr/>
          <w:p>
            <w:pPr>
              <w:pStyle w:val="Compact"/>
              <w:jc w:val="left"/>
            </w:pPr>
            <w:r>
              <w:t xml:space="preserve">支持电子医保卡支付</w:t>
            </w:r>
          </w:p>
        </w:tc>
        <w:tc>
          <w:tcPr/>
          <w:p>
            <w:pPr>
              <w:pStyle w:val="Compact"/>
              <w:jc w:val="left"/>
            </w:pPr>
            <w:r>
              <w:t xml:space="preserve">2023.05</w:t>
            </w:r>
            <w:r>
              <w:t xml:space="preserve"> </w:t>
            </w:r>
            <w:fldSimple w:instr="NOTEREF _Ref_Footnote_44 \h \f">
              <w:r>
                <w:rPr>
                  <w:vertAlign w:val="superscript"/>
                </w:rPr>
                <w:t>44</w:t>
              </w:r>
            </w:fldSimple>
          </w:p>
        </w:tc>
      </w:tr>
    </w:tbl>
    <w:p>
      <w:pPr>
        <w:pStyle w:val="BodyText"/>
      </w:pPr>
      <w:r>
        <w:t xml:space="preserve">上表反映出智慧药房技术标准的三重不平衡。第一，适用对象不平衡：现有地方标准主要面向医疗机构智慧药房，针对零售药店智慧药房（柜）的标准仅浙江、山西等少数省份有所涉及。第二，标准性质不平衡：目前以”建设指南”</w:t>
      </w:r>
      <w:r>
        <w:t xml:space="preserve">“</w:t>
      </w:r>
      <w:r>
        <w:t xml:space="preserve">评价体系</w:t>
      </w:r>
      <w:r>
        <w:t xml:space="preserve">”</w:t>
      </w:r>
      <w:r>
        <w:t xml:space="preserve">“</w:t>
      </w:r>
      <w:r>
        <w:t xml:space="preserve">管理规范</w:t>
      </w:r>
      <w:r>
        <w:t xml:space="preserve">”</w:t>
      </w:r>
      <w:r>
        <w:t xml:space="preserve">等引导性标准为主，强制性技术规范匮乏，对温湿度控制精度、自动分拣差错率、远程审方响应时效等关键技术指标缺乏统一量化要求。第三，医保对接不平衡：技术标准与医保结算的衔接仍处于割裂状态——浙江标准虽要求”对接电子医保系统”，但未明确结算接口规范；河北、湖南永州等地虽实现了医保结算，但依赖于地方医保局的单独授权，而非全国统一的智慧药房医保准入标准。国家层面的智慧药房（柜）技术标准和管理规范至今尚未出台，这已成为制约行业跨区域扩张和合规运营的关键瓶颈。</w:t>
      </w:r>
    </w:p>
    <w:bookmarkEnd w:id="59"/>
    <w:bookmarkStart w:id="60" w:name="医保结算从政策允许到商业可行的最后一公里"/>
    <w:p>
      <w:pPr>
        <w:pStyle w:val="Heading4"/>
      </w:pPr>
      <w:r>
        <w:t xml:space="preserve">3.3.2 医保结算：从”政策允许”到”商业可行”的最后一公里</w:t>
      </w:r>
    </w:p>
    <w:p>
      <w:pPr>
        <w:pStyle w:val="FirstParagraph"/>
      </w:pPr>
      <w:r>
        <w:t xml:space="preserve">智慧药房（柜）能否真正形成可持续商业模式，医保结算的接入程度是决定性变量。在中国药品零售市场，医保支付占据处方药销售额的重要比例，尤其对于慢病用药和国家谈判药品，医保报销直接影响患者的购药渠道选择。如果智慧药房（柜）无法接入门诊统筹或”双通道”医保结算，消费者即便可以方便地购买到处方药，也会因无法使用医保而转向传统药店或医院，智慧药房（柜）的客流吸引力将大幅受限</w:t>
      </w:r>
      <w:r>
        <w:rPr>
          <w:vertAlign w:val="superscript"/>
        </w:rPr>
        <w:footnoteReference w:id="53"/>
      </w:r>
      <w:r>
        <w:t xml:space="preserve">。</w:t>
      </w:r>
    </w:p>
    <w:p>
      <w:pPr>
        <w:pStyle w:val="BodyText"/>
      </w:pPr>
      <w:r>
        <w:t xml:space="preserve">从现有实践看，医保对接呈现三种模式。第一种是”医保电子凭证刷码购药”模式，北京叮当智慧药房17家门店于2023年3月开通此服务，覆盖个人账户资金支付，其后扩展至上海、深圳、成都、杭州等城市</w:t>
      </w:r>
      <w:r>
        <w:rPr>
          <w:vertAlign w:val="superscript"/>
        </w:rPr>
        <w:footnoteReference w:id="54"/>
      </w:r>
      <w:r>
        <w:t xml:space="preserve">。第二种是”在线医保+即时零售”模式，杭州叮当智慧药房于2024年6月开通，用户通过美团、饿了么等平台下单，完成医保信息授权后直接使用医保个账在线结算，实现”手机下单、医保支付、即时送药”</w:t>
      </w:r>
      <w:r>
        <w:rPr>
          <w:vertAlign w:val="superscript"/>
        </w:rPr>
        <w:footnoteReference w:id="55"/>
      </w:r>
      <w:r>
        <w:t xml:space="preserve">。第三种是”电子处方中心流转结算”模式，河北省要求自助药房必须接入国家统一医保信息平台处方流转中心，实现处方流转、购药和门诊统筹医保结算的一体化；山西全省则于2023年2月完成统一医保电子处方平台建设，2025年1月1日起”双通道”药品强制通过电子处方中心流转，不再接收纸质处方</w:t>
      </w:r>
      <w:r>
        <w:rPr>
          <w:vertAlign w:val="superscript"/>
        </w:rPr>
        <w:footnoteReference w:id="56"/>
      </w:r>
      <w:r>
        <w:t xml:space="preserve">。湖南永州和醴陵的”智慧医保自助药房”更是实现了终端设备与医保结算系统的无缝对接，参保群众通过医保电子凭证扫码即可完成结算</w:t>
      </w:r>
      <w:fldSimple w:instr="NOTEREF _Ref_Footnote_38 \h \f">
        <w:r>
          <w:rPr>
            <w:vertAlign w:val="superscript"/>
          </w:rPr>
          <w:t>38</w:t>
        </w:r>
      </w:fldSimple>
      <w:r>
        <w:t xml:space="preserve">。</w:t>
      </w:r>
    </w:p>
    <w:p>
      <w:pPr>
        <w:pStyle w:val="BodyText"/>
      </w:pPr>
      <w:r>
        <w:t xml:space="preserve">然而，上述对接仍以区域试点和个别授权为主，全国尚未形成统一的智慧药房（柜）医保结算接口标准。国家医保局与药监局在智慧药房准入条件、处方流转数据格式、医保基金监管规则等方面的协调，将成为决定智慧药房从”政策允许”迈向”商业可行”的关键变量。在医保尚未全面打通的地区，智慧药房（柜）可能短期内只能以”非处方药+自费药”模式运营，其市场覆盖范围和盈利空间均将受到显著制约。</w:t>
      </w:r>
    </w:p>
    <w:p>
      <w:r>
        <w:pict>
          <v:rect style="width:0;height:1.5pt" o:hralign="center" o:hrstd="t" o:hr="t"/>
        </w:pict>
      </w:r>
    </w:p>
    <w:bookmarkEnd w:id="60"/>
    <w:bookmarkEnd w:id="61"/>
    <w:bookmarkEnd w:id="62"/>
    <w:bookmarkEnd w:id="63"/>
    <w:bookmarkStart w:id="113" w:name="药食同源销售放宽政策全国对比"/>
    <w:p>
      <w:pPr>
        <w:pStyle w:val="Heading1"/>
      </w:pPr>
      <w:r>
        <w:t xml:space="preserve">4. 药食同源销售放宽政策全国对比</w:t>
      </w:r>
    </w:p>
    <w:p>
      <w:pPr>
        <w:pStyle w:val="FirstParagraph"/>
      </w:pPr>
      <w:r>
        <w:t xml:space="preserve">2019年10月，国家药监局复函全国工商联，明确药食同源目录范围内仅经净制、切片、包装且标签不标明“炮制规范、功能主治、用法用量”的饮片，可按《食品安全法》第三十八条中“中药材”管理，药店可开架销售、无需处方</w:t>
      </w:r>
      <w:r>
        <w:rPr>
          <w:vertAlign w:val="superscript"/>
        </w:rPr>
        <w:footnoteReference w:id="57"/>
      </w:r>
      <w:r>
        <w:t xml:space="preserve">。此后十余个省份出台配套细则，但豁免幅度、限定条件差异显著。山西省2026年新规引入“非临床配方使用”的用途限定，标志着地方监管逻辑从“品种管理”向“品种+用途双维度管理”演进。</w:t>
      </w:r>
    </w:p>
    <w:bookmarkStart w:id="68" w:name="各省政策对比"/>
    <w:p>
      <w:pPr>
        <w:pStyle w:val="Heading2"/>
      </w:pPr>
      <w:r>
        <w:t xml:space="preserve">4.1 各省政策对比</w:t>
      </w:r>
    </w:p>
    <w:bookmarkStart w:id="64" w:name="山东2019最早省级制度化"/>
    <w:p>
      <w:pPr>
        <w:pStyle w:val="Heading3"/>
      </w:pPr>
      <w:r>
        <w:t xml:space="preserve">4.1.1 山东（2019）：最早省级制度化</w:t>
      </w:r>
    </w:p>
    <w:p>
      <w:pPr>
        <w:pStyle w:val="FirstParagraph"/>
      </w:pPr>
      <w:r>
        <w:t xml:space="preserve">《山东省药品零售企业分级分类管理办法》（鲁食药监市〔2019〕60号）规定，仅经营药食同源类或可用于保健食品的精制包装单味中药饮片且不拆零销售的二类店、三类店，可不增加“中药饮片”经营范围，可不配备中药师和药斗等设备</w:t>
      </w:r>
      <w:r>
        <w:rPr>
          <w:vertAlign w:val="superscript"/>
        </w:rPr>
        <w:footnoteReference w:id="58"/>
      </w:r>
      <w:r>
        <w:t xml:space="preserve">。该模式嵌入既有分级分类体系，覆盖面扩展至保健食品用精制包装，豁免最为彻底</w:t>
      </w:r>
      <w:r>
        <w:rPr>
          <w:vertAlign w:val="superscript"/>
        </w:rPr>
        <w:footnoteReference w:id="59"/>
      </w:r>
      <w:r>
        <w:t xml:space="preserve">。</w:t>
      </w:r>
    </w:p>
    <w:bookmarkEnd w:id="64"/>
    <w:bookmarkStart w:id="65" w:name="江西2025过渡期审慎豁免"/>
    <w:p>
      <w:pPr>
        <w:pStyle w:val="Heading3"/>
      </w:pPr>
      <w:r>
        <w:t xml:space="preserve">4.1.2 江西（2025）：过渡期审慎豁免</w:t>
      </w:r>
    </w:p>
    <w:p>
      <w:pPr>
        <w:pStyle w:val="FirstParagraph"/>
      </w:pPr>
      <w:r>
        <w:t xml:space="preserve">江西省2022年文件规定，仅销售食药同源类定型包装饮片且不进行处方调配的零售药店，经县级以上药监部门同意，过渡期（2025年底前）可暂不配备执业中药师和药柜，但应配备中药学技术人员，经营范围标注“仅限定型包装中药饮片”</w:t>
      </w:r>
      <w:r>
        <w:rPr>
          <w:vertAlign w:val="superscript"/>
        </w:rPr>
        <w:footnoteReference w:id="60"/>
      </w:r>
      <w:r>
        <w:t xml:space="preserve">。2025年征求意见稿将过渡期安排向正式验收标准推进，要求未变</w:t>
      </w:r>
      <w:r>
        <w:rPr>
          <w:vertAlign w:val="superscript"/>
        </w:rPr>
        <w:footnoteReference w:id="61"/>
      </w:r>
      <w:r>
        <w:t xml:space="preserve">。江西模式保留了行政裁量空间，但过渡期后的政策走向尚未明确。</w:t>
      </w:r>
    </w:p>
    <w:bookmarkEnd w:id="65"/>
    <w:bookmarkStart w:id="66" w:name="山西2026用途限定的范式创新"/>
    <w:p>
      <w:pPr>
        <w:pStyle w:val="Heading3"/>
      </w:pPr>
      <w:r>
        <w:t xml:space="preserve">4.1.3 山西（2026）：用途限定的范式创新</w:t>
      </w:r>
    </w:p>
    <w:p>
      <w:pPr>
        <w:pStyle w:val="FirstParagraph"/>
      </w:pPr>
      <w:r>
        <w:t xml:space="preserve">山西省《药品零售经营监督管理办法（试行）》（晋药监规〔2026〕7号）第三十九条规定，药品零售企业可不凭处方开架销售“非临床配方使用的药食同源单味定型包装中药饮片”，不可拆零，仅销售此类产品时可不配备药斗</w:t>
      </w:r>
      <w:fldSimple w:instr="NOTEREF _Ref_Footnote_10 \h \f">
        <w:r>
          <w:rPr>
            <w:vertAlign w:val="superscript"/>
          </w:rPr>
          <w:t>10</w:t>
        </w:r>
      </w:fldSimple>
      <w:r>
        <w:t xml:space="preserve">。该条款将政策边界从“品种是否在目录内”扩展到“用途是否非临床配方”，即使目录内品种，若以临床配方调配为目的销售或拆零配伍，仍需凭处方、配药师、设药斗。这一“品种+用途”双维度管理提升了精细度，但“非临床配方使用”缺乏全国统一界定标准，存在执法模糊性</w:t>
      </w:r>
      <w:r>
        <w:rPr>
          <w:vertAlign w:val="superscript"/>
        </w:rPr>
        <w:footnoteReference w:id="62"/>
      </w:r>
      <w:r>
        <w:t xml:space="preserve">。</w:t>
      </w:r>
    </w:p>
    <w:bookmarkEnd w:id="66"/>
    <w:bookmarkStart w:id="67" w:name="安徽湖北内蒙古等地类似政策"/>
    <w:p>
      <w:pPr>
        <w:pStyle w:val="Heading3"/>
      </w:pPr>
      <w:r>
        <w:t xml:space="preserve">4.1.4 安徽、湖北、内蒙古等地类似政策</w:t>
      </w:r>
    </w:p>
    <w:p>
      <w:pPr>
        <w:pStyle w:val="FirstParagraph"/>
      </w:pPr>
      <w:r>
        <w:t xml:space="preserve">安徽省2026年1月印发《药品经营和使用质量监督管理办法实施细则》，明确仅经营药食同源且单味独立预包装饮片的企业，可不配备中药学类执业药师和药斗，但应设置独立陈列区域，经营范围标注“中药饮片（仅经营药食同源且单味独立预包装的中药饮片）”</w:t>
      </w:r>
      <w:r>
        <w:rPr>
          <w:vertAlign w:val="superscript"/>
        </w:rPr>
        <w:footnoteReference w:id="63"/>
      </w:r>
      <w:r>
        <w:t xml:space="preserve">。湖北省2021年文件规定，只经营定型包装或药食同源类饮片，可不专门配备中药执业药师及其他中药药学技术人员</w:t>
      </w:r>
      <w:r>
        <w:rPr>
          <w:vertAlign w:val="superscript"/>
        </w:rPr>
        <w:footnoteReference w:id="64"/>
      </w:r>
      <w:r>
        <w:t xml:space="preserve">。内蒙古2025年复函明确，仅经营药食同源和精包装单味饮片的，可不配备药斗和中药学类执业药师，不设调剂区域，经营范围可在许可证副本标注</w:t>
      </w:r>
      <w:r>
        <w:rPr>
          <w:vertAlign w:val="superscript"/>
        </w:rPr>
        <w:footnoteReference w:id="65"/>
      </w:r>
      <w:r>
        <w:t xml:space="preserve">。</w:t>
      </w:r>
    </w:p>
    <w:tbl>
      <w:tblPr>
        <w:tblStyle w:val="Table"/>
        <w:tblW w:type="pct" w:w="5000"/>
        <w:jc w:val="start"/>
        <w:tblLayout w:type="fixed"/>
        <w:tblLook w:firstRow="1" w:lastRow="0" w:firstColumn="0" w:lastColumn="0" w:noHBand="0" w:noVBand="0" w:val="0020"/>
      </w:tblPr>
      <w:tblGrid>
        <w:gridCol w:w="905"/>
        <w:gridCol w:w="905"/>
        <w:gridCol w:w="1131"/>
        <w:gridCol w:w="1131"/>
        <w:gridCol w:w="1131"/>
        <w:gridCol w:w="905"/>
        <w:gridCol w:w="905"/>
        <w:gridCol w:w="905"/>
      </w:tblGrid>
      <w:tr>
        <w:trPr>
          <w:tblHeader w:val="true"/>
        </w:trPr>
        <w:tc>
          <w:tcPr/>
          <w:p>
            <w:pPr>
              <w:pStyle w:val="Compact"/>
              <w:jc w:val="left"/>
            </w:pPr>
            <w:r>
              <w:t xml:space="preserve">省份/地区</w:t>
            </w:r>
          </w:p>
        </w:tc>
        <w:tc>
          <w:tcPr/>
          <w:p>
            <w:pPr>
              <w:pStyle w:val="Compact"/>
              <w:jc w:val="left"/>
            </w:pPr>
            <w:r>
              <w:t xml:space="preserve">政策文件</w:t>
            </w:r>
          </w:p>
        </w:tc>
        <w:tc>
          <w:tcPr/>
          <w:p>
            <w:pPr>
              <w:pStyle w:val="Compact"/>
              <w:jc w:val="center"/>
            </w:pPr>
            <w:r>
              <w:t xml:space="preserve">不凭处方</w:t>
            </w:r>
          </w:p>
        </w:tc>
        <w:tc>
          <w:tcPr/>
          <w:p>
            <w:pPr>
              <w:pStyle w:val="Compact"/>
              <w:jc w:val="center"/>
            </w:pPr>
            <w:r>
              <w:t xml:space="preserve">执业中药师豁免</w:t>
            </w:r>
          </w:p>
        </w:tc>
        <w:tc>
          <w:tcPr/>
          <w:p>
            <w:pPr>
              <w:pStyle w:val="Compact"/>
              <w:jc w:val="center"/>
            </w:pPr>
            <w:r>
              <w:t xml:space="preserve">药斗豁免</w:t>
            </w:r>
          </w:p>
        </w:tc>
        <w:tc>
          <w:tcPr/>
          <w:p>
            <w:pPr>
              <w:pStyle w:val="Compact"/>
              <w:jc w:val="left"/>
            </w:pPr>
            <w:r>
              <w:t xml:space="preserve">经营范围标注</w:t>
            </w:r>
          </w:p>
        </w:tc>
        <w:tc>
          <w:tcPr/>
          <w:p>
            <w:pPr>
              <w:pStyle w:val="Compact"/>
              <w:jc w:val="left"/>
            </w:pPr>
            <w:r>
              <w:t xml:space="preserve">包装形式</w:t>
            </w:r>
          </w:p>
        </w:tc>
        <w:tc>
          <w:tcPr/>
          <w:p>
            <w:pPr>
              <w:pStyle w:val="Compact"/>
              <w:jc w:val="left"/>
            </w:pPr>
            <w:r>
              <w:t xml:space="preserve">用途限定/特殊条件</w:t>
            </w:r>
          </w:p>
        </w:tc>
      </w:tr>
      <w:tr>
        <w:tc>
          <w:tcPr/>
          <w:p>
            <w:pPr>
              <w:pStyle w:val="Compact"/>
              <w:jc w:val="left"/>
            </w:pPr>
            <w:r>
              <w:t xml:space="preserve">山东（2019）</w:t>
            </w:r>
          </w:p>
        </w:tc>
        <w:tc>
          <w:tcPr/>
          <w:p>
            <w:pPr>
              <w:pStyle w:val="Compact"/>
              <w:jc w:val="left"/>
            </w:pPr>
            <w:r>
              <w:t xml:space="preserve">《药品零售企业分级分类管理办法》</w:t>
            </w:r>
          </w:p>
        </w:tc>
        <w:tc>
          <w:tcPr/>
          <w:p>
            <w:pPr>
              <w:pStyle w:val="Compact"/>
              <w:jc w:val="center"/>
            </w:pPr>
            <w:r>
              <w:t xml:space="preserve">✓</w:t>
            </w:r>
          </w:p>
        </w:tc>
        <w:tc>
          <w:tcPr/>
          <w:p>
            <w:pPr>
              <w:pStyle w:val="Compact"/>
              <w:jc w:val="center"/>
            </w:pPr>
            <w:r>
              <w:t xml:space="preserve">✓（可不配中药师）</w:t>
            </w:r>
          </w:p>
        </w:tc>
        <w:tc>
          <w:tcPr/>
          <w:p>
            <w:pPr>
              <w:pStyle w:val="Compact"/>
              <w:jc w:val="center"/>
            </w:pPr>
            <w:r>
              <w:t xml:space="preserve">✓</w:t>
            </w:r>
          </w:p>
        </w:tc>
        <w:tc>
          <w:tcPr/>
          <w:p>
            <w:pPr>
              <w:pStyle w:val="Compact"/>
              <w:jc w:val="left"/>
            </w:pPr>
            <w:r>
              <w:t xml:space="preserve">可不增加“中药饮片”经营范围</w:t>
            </w:r>
          </w:p>
        </w:tc>
        <w:tc>
          <w:tcPr/>
          <w:p>
            <w:pPr>
              <w:pStyle w:val="Compact"/>
              <w:jc w:val="left"/>
            </w:pPr>
            <w:r>
              <w:t xml:space="preserve">精制包装单味</w:t>
            </w:r>
          </w:p>
        </w:tc>
        <w:tc>
          <w:tcPr/>
          <w:p>
            <w:pPr>
              <w:pStyle w:val="Compact"/>
              <w:jc w:val="left"/>
            </w:pPr>
            <w:r>
              <w:t xml:space="preserve">不拆零；可用于保健食品的精制包装亦适用</w:t>
            </w:r>
          </w:p>
        </w:tc>
      </w:tr>
      <w:tr>
        <w:tc>
          <w:tcPr/>
          <w:p>
            <w:pPr>
              <w:pStyle w:val="Compact"/>
              <w:jc w:val="left"/>
            </w:pPr>
            <w:r>
              <w:t xml:space="preserve">江西（2022/2025）</w:t>
            </w:r>
          </w:p>
        </w:tc>
        <w:tc>
          <w:tcPr/>
          <w:p>
            <w:pPr>
              <w:pStyle w:val="Compact"/>
              <w:jc w:val="left"/>
            </w:pPr>
            <w:r>
              <w:t xml:space="preserve">《促进和引导药品经营企业快速规范发展的通知》/《零售许可验收实施标准（征求意见稿）》</w:t>
            </w:r>
          </w:p>
        </w:tc>
        <w:tc>
          <w:tcPr/>
          <w:p>
            <w:pPr>
              <w:pStyle w:val="Compact"/>
              <w:jc w:val="center"/>
            </w:pPr>
            <w:r>
              <w:t xml:space="preserve">✓</w:t>
            </w:r>
          </w:p>
        </w:tc>
        <w:tc>
          <w:tcPr/>
          <w:p>
            <w:pPr>
              <w:pStyle w:val="Compact"/>
              <w:jc w:val="center"/>
            </w:pPr>
            <w:r>
              <w:t xml:space="preserve">过渡期暂不配备，但需中药学技术人员</w:t>
            </w:r>
          </w:p>
        </w:tc>
        <w:tc>
          <w:tcPr/>
          <w:p>
            <w:pPr>
              <w:pStyle w:val="Compact"/>
              <w:jc w:val="center"/>
            </w:pPr>
            <w:r>
              <w:t xml:space="preserve">✓</w:t>
            </w:r>
          </w:p>
        </w:tc>
        <w:tc>
          <w:tcPr/>
          <w:p>
            <w:pPr>
              <w:pStyle w:val="Compact"/>
              <w:jc w:val="left"/>
            </w:pPr>
            <w:r>
              <w:t xml:space="preserve">“</w:t>
            </w:r>
            <w:r>
              <w:t xml:space="preserve">精致单味包装中药饮片</w:t>
            </w:r>
            <w:r>
              <w:t xml:space="preserve">”</w:t>
            </w:r>
            <w:r>
              <w:t xml:space="preserve">或“仅限定型包装中药饮片”</w:t>
            </w:r>
          </w:p>
        </w:tc>
        <w:tc>
          <w:tcPr/>
          <w:p>
            <w:pPr>
              <w:pStyle w:val="Compact"/>
              <w:jc w:val="left"/>
            </w:pPr>
            <w:r>
              <w:t xml:space="preserve">精致单味/定型包装</w:t>
            </w:r>
          </w:p>
        </w:tc>
        <w:tc>
          <w:tcPr/>
          <w:p>
            <w:pPr>
              <w:pStyle w:val="Compact"/>
              <w:jc w:val="left"/>
            </w:pPr>
            <w:r>
              <w:t xml:space="preserve">不涉及处方调配；须经县级以上药监部门同意；过渡期至2025年底</w:t>
            </w:r>
          </w:p>
        </w:tc>
      </w:tr>
      <w:tr>
        <w:tc>
          <w:tcPr/>
          <w:p>
            <w:pPr>
              <w:pStyle w:val="Compact"/>
              <w:jc w:val="left"/>
            </w:pPr>
            <w:r>
              <w:t xml:space="preserve">湖北（2021）</w:t>
            </w:r>
          </w:p>
        </w:tc>
        <w:tc>
          <w:tcPr/>
          <w:p>
            <w:pPr>
              <w:pStyle w:val="Compact"/>
              <w:jc w:val="left"/>
            </w:pPr>
            <w:r>
              <w:t xml:space="preserve">《社会药房监督管理办法（试行）》</w:t>
            </w:r>
          </w:p>
        </w:tc>
        <w:tc>
          <w:tcPr/>
          <w:p>
            <w:pPr>
              <w:pStyle w:val="Compact"/>
              <w:jc w:val="center"/>
            </w:pPr>
            <w:r>
              <w:t xml:space="preserve">✓</w:t>
            </w:r>
          </w:p>
        </w:tc>
        <w:tc>
          <w:tcPr/>
          <w:p>
            <w:pPr>
              <w:pStyle w:val="Compact"/>
              <w:jc w:val="center"/>
            </w:pPr>
            <w:r>
              <w:t xml:space="preserve">✓（不专门配备中药执业药师及其他中药药学技术人员）</w:t>
            </w:r>
          </w:p>
        </w:tc>
        <w:tc>
          <w:tcPr/>
          <w:p>
            <w:pPr>
              <w:pStyle w:val="Compact"/>
              <w:jc w:val="center"/>
            </w:pPr>
            <w:r>
              <w:t xml:space="preserve">✓</w:t>
            </w:r>
          </w:p>
        </w:tc>
        <w:tc>
          <w:tcPr/>
          <w:p>
            <w:pPr>
              <w:pStyle w:val="Compact"/>
              <w:jc w:val="left"/>
            </w:pPr>
            <w:r>
              <w:t xml:space="preserve">未特别标注</w:t>
            </w:r>
          </w:p>
        </w:tc>
        <w:tc>
          <w:tcPr/>
          <w:p>
            <w:pPr>
              <w:pStyle w:val="Compact"/>
              <w:jc w:val="left"/>
            </w:pPr>
            <w:r>
              <w:t xml:space="preserve">定型包装</w:t>
            </w:r>
          </w:p>
        </w:tc>
        <w:tc>
          <w:tcPr/>
          <w:p>
            <w:pPr>
              <w:pStyle w:val="Compact"/>
              <w:jc w:val="left"/>
            </w:pPr>
            <w:r>
              <w:t xml:space="preserve">只经营定型包装或药食同源类饮片</w:t>
            </w:r>
          </w:p>
        </w:tc>
      </w:tr>
      <w:tr>
        <w:tc>
          <w:tcPr/>
          <w:p>
            <w:pPr>
              <w:pStyle w:val="Compact"/>
              <w:jc w:val="left"/>
            </w:pPr>
            <w:r>
              <w:t xml:space="preserve">内蒙古（2025）</w:t>
            </w:r>
          </w:p>
        </w:tc>
        <w:tc>
          <w:tcPr/>
          <w:p>
            <w:pPr>
              <w:pStyle w:val="Compact"/>
              <w:jc w:val="left"/>
            </w:pPr>
            <w:r>
              <w:t xml:space="preserve">药监局复函</w:t>
            </w:r>
          </w:p>
        </w:tc>
        <w:tc>
          <w:tcPr/>
          <w:p>
            <w:pPr>
              <w:pStyle w:val="Compact"/>
              <w:jc w:val="center"/>
            </w:pPr>
            <w:r>
              <w:t xml:space="preserve">✓</w:t>
            </w:r>
          </w:p>
        </w:tc>
        <w:tc>
          <w:tcPr/>
          <w:p>
            <w:pPr>
              <w:pStyle w:val="Compact"/>
              <w:jc w:val="center"/>
            </w:pPr>
            <w:r>
              <w:t xml:space="preserve">✓（可不配中药学类执业药师）</w:t>
            </w:r>
          </w:p>
        </w:tc>
        <w:tc>
          <w:tcPr/>
          <w:p>
            <w:pPr>
              <w:pStyle w:val="Compact"/>
              <w:jc w:val="center"/>
            </w:pPr>
            <w:r>
              <w:t xml:space="preserve">✓</w:t>
            </w:r>
          </w:p>
        </w:tc>
        <w:tc>
          <w:tcPr/>
          <w:p>
            <w:pPr>
              <w:pStyle w:val="Compact"/>
              <w:jc w:val="left"/>
            </w:pPr>
            <w:r>
              <w:t xml:space="preserve">副本中标注</w:t>
            </w:r>
          </w:p>
        </w:tc>
        <w:tc>
          <w:tcPr/>
          <w:p>
            <w:pPr>
              <w:pStyle w:val="Compact"/>
              <w:jc w:val="left"/>
            </w:pPr>
            <w:r>
              <w:t xml:space="preserve">精包装单味</w:t>
            </w:r>
          </w:p>
        </w:tc>
        <w:tc>
          <w:tcPr/>
          <w:p>
            <w:pPr>
              <w:pStyle w:val="Compact"/>
              <w:jc w:val="left"/>
            </w:pPr>
            <w:r>
              <w:t xml:space="preserve">定量包装、密封保存、不拆零；不设调剂区域</w:t>
            </w:r>
          </w:p>
        </w:tc>
      </w:tr>
      <w:tr>
        <w:tc>
          <w:tcPr/>
          <w:p>
            <w:pPr>
              <w:pStyle w:val="Compact"/>
              <w:jc w:val="left"/>
            </w:pPr>
            <w:r>
              <w:t xml:space="preserve">安徽（2026）</w:t>
            </w:r>
          </w:p>
        </w:tc>
        <w:tc>
          <w:tcPr/>
          <w:p>
            <w:pPr>
              <w:pStyle w:val="Compact"/>
              <w:jc w:val="left"/>
            </w:pPr>
            <w:r>
              <w:t xml:space="preserve">《药品经营和使用质量监督管理办法实施细则》</w:t>
            </w:r>
          </w:p>
        </w:tc>
        <w:tc>
          <w:tcPr/>
          <w:p>
            <w:pPr>
              <w:pStyle w:val="Compact"/>
              <w:jc w:val="center"/>
            </w:pPr>
            <w:r>
              <w:t xml:space="preserve">✓</w:t>
            </w:r>
          </w:p>
        </w:tc>
        <w:tc>
          <w:tcPr/>
          <w:p>
            <w:pPr>
              <w:pStyle w:val="Compact"/>
              <w:jc w:val="center"/>
            </w:pPr>
            <w:r>
              <w:t xml:space="preserve">✓（可不配中药学类执业药师、调剂员）</w:t>
            </w:r>
          </w:p>
        </w:tc>
        <w:tc>
          <w:tcPr/>
          <w:p>
            <w:pPr>
              <w:pStyle w:val="Compact"/>
              <w:jc w:val="center"/>
            </w:pPr>
            <w:r>
              <w:t xml:space="preserve">✓（可不配斗柜、称量器具）</w:t>
            </w:r>
          </w:p>
        </w:tc>
        <w:tc>
          <w:tcPr/>
          <w:p>
            <w:pPr>
              <w:pStyle w:val="Compact"/>
              <w:jc w:val="left"/>
            </w:pPr>
            <w:r>
              <w:t xml:space="preserve">“</w:t>
            </w:r>
            <w:r>
              <w:t xml:space="preserve">中药饮片（仅经营药食同源且单味独立预包装的中药饮片）</w:t>
            </w:r>
            <w:r>
              <w:t xml:space="preserve">”</w:t>
            </w:r>
          </w:p>
        </w:tc>
        <w:tc>
          <w:tcPr/>
          <w:p>
            <w:pPr>
              <w:pStyle w:val="Compact"/>
              <w:jc w:val="left"/>
            </w:pPr>
            <w:r>
              <w:t xml:space="preserve">单味独立预包装</w:t>
            </w:r>
          </w:p>
        </w:tc>
        <w:tc>
          <w:tcPr/>
          <w:p>
            <w:pPr>
              <w:pStyle w:val="Compact"/>
              <w:jc w:val="left"/>
            </w:pPr>
            <w:r>
              <w:t xml:space="preserve">应设置独立陈列区域；不拆零销售</w:t>
            </w:r>
          </w:p>
        </w:tc>
      </w:tr>
      <w:tr>
        <w:tc>
          <w:tcPr/>
          <w:p>
            <w:pPr>
              <w:pStyle w:val="Compact"/>
              <w:jc w:val="left"/>
            </w:pPr>
            <w:r>
              <w:t xml:space="preserve">山西（2026）</w:t>
            </w:r>
          </w:p>
        </w:tc>
        <w:tc>
          <w:tcPr/>
          <w:p>
            <w:pPr>
              <w:pStyle w:val="Compact"/>
              <w:jc w:val="left"/>
            </w:pPr>
            <w:r>
              <w:t xml:space="preserve">《药品零售经营监督管理办法（试行）》</w:t>
            </w:r>
          </w:p>
        </w:tc>
        <w:tc>
          <w:tcPr/>
          <w:p>
            <w:pPr>
              <w:pStyle w:val="Compact"/>
              <w:jc w:val="center"/>
            </w:pPr>
            <w:r>
              <w:t xml:space="preserve">✓</w:t>
            </w:r>
          </w:p>
        </w:tc>
        <w:tc>
          <w:tcPr/>
          <w:p>
            <w:pPr>
              <w:pStyle w:val="Compact"/>
              <w:jc w:val="center"/>
            </w:pPr>
            <w:r>
              <w:t xml:space="preserve">未明确豁免，但仅销售此类产品不涉及审方调配</w:t>
            </w:r>
          </w:p>
        </w:tc>
        <w:tc>
          <w:tcPr/>
          <w:p>
            <w:pPr>
              <w:pStyle w:val="Compact"/>
              <w:jc w:val="center"/>
            </w:pPr>
            <w:r>
              <w:t xml:space="preserve">✓</w:t>
            </w:r>
          </w:p>
        </w:tc>
        <w:tc>
          <w:tcPr/>
          <w:p>
            <w:pPr>
              <w:pStyle w:val="Compact"/>
              <w:jc w:val="left"/>
            </w:pPr>
            <w:r>
              <w:t xml:space="preserve">未特别标注</w:t>
            </w:r>
          </w:p>
        </w:tc>
        <w:tc>
          <w:tcPr/>
          <w:p>
            <w:pPr>
              <w:pStyle w:val="Compact"/>
              <w:jc w:val="left"/>
            </w:pPr>
            <w:r>
              <w:t xml:space="preserve">单味定型包装</w:t>
            </w:r>
          </w:p>
        </w:tc>
        <w:tc>
          <w:tcPr/>
          <w:p>
            <w:pPr>
              <w:pStyle w:val="Compact"/>
              <w:jc w:val="left"/>
            </w:pPr>
            <w:r>
              <w:t xml:space="preserve">“</w:t>
            </w:r>
            <w:r>
              <w:t xml:space="preserve">非临床配方使用</w:t>
            </w:r>
            <w:r>
              <w:t xml:space="preserve">”</w:t>
            </w:r>
            <w:r>
              <w:t xml:space="preserve">；不可拆零；仅销售此类产品时可不配备药斗</w:t>
            </w:r>
          </w:p>
        </w:tc>
      </w:tr>
    </w:tbl>
    <w:p>
      <w:pPr>
        <w:pStyle w:val="BodyText"/>
      </w:pPr>
      <w:r>
        <w:t xml:space="preserve">上表可见，各省在“不拆零、不处方调配”上存在共识，但豁免深度呈现梯度：山东、湖北、内蒙古最为彻底，江西和安徽设置了替代性人员门槛或陈列要求，山西以“非临床配方使用”开辟了用途限定维度。经营范围标注上，安徽最严，山东最宽松，山西和内蒙古相对灵活。政策扩散呈现“由东向西、由点到面”特征，2019—2022年为第一波制度化浪潮，2024—2026年进入省级规章深化整合阶段。</w:t>
      </w:r>
    </w:p>
    <w:bookmarkEnd w:id="67"/>
    <w:bookmarkEnd w:id="68"/>
    <w:bookmarkStart w:id="71" w:name="监管风险与行业影响"/>
    <w:p>
      <w:pPr>
        <w:pStyle w:val="Heading2"/>
      </w:pPr>
      <w:r>
        <w:t xml:space="preserve">4.2 监管风险与行业影响</w:t>
      </w:r>
    </w:p>
    <w:bookmarkStart w:id="69" w:name="非临床配方使用缺乏明确界定标准标签管理是执法最大模糊地带"/>
    <w:p>
      <w:pPr>
        <w:pStyle w:val="Heading3"/>
      </w:pPr>
      <w:r>
        <w:t xml:space="preserve">4.2.1</w:t>
      </w:r>
      <w:r>
        <w:t xml:space="preserve"> </w:t>
      </w:r>
      <w:r>
        <w:t xml:space="preserve">“</w:t>
      </w:r>
      <w:r>
        <w:t xml:space="preserve">非临床配方使用</w:t>
      </w:r>
      <w:r>
        <w:t xml:space="preserve">”</w:t>
      </w:r>
      <w:r>
        <w:t xml:space="preserve">缺乏明确界定标准，标签管理是执法最大模糊地带</w:t>
      </w:r>
    </w:p>
    <w:p>
      <w:pPr>
        <w:pStyle w:val="FirstParagraph"/>
      </w:pPr>
      <w:r>
        <w:t xml:space="preserve">“</w:t>
      </w:r>
      <w:r>
        <w:t xml:space="preserve">非临床配方使用</w:t>
      </w:r>
      <w:r>
        <w:t xml:space="preserve">”</w:t>
      </w:r>
      <w:r>
        <w:t xml:space="preserve">在现有法规中尚无定义，消费者以药食同源饮片煲汤或自配汤剂，在零售终端几乎无法区分，场景识别困难</w:t>
      </w:r>
      <w:fldSimple w:instr="NOTEREF _Ref_Footnote_62 \h \f">
        <w:r>
          <w:rPr>
            <w:vertAlign w:val="superscript"/>
          </w:rPr>
          <w:t>62</w:t>
        </w:r>
      </w:fldSimple>
      <w:r>
        <w:t xml:space="preserve">。标签管理同样是模糊地带：国家局复函要求标签不标明“功能主治、用法用量”方可按食品管理</w:t>
      </w:r>
      <w:fldSimple w:instr="NOTEREF _Ref_Footnote_57 \h \f">
        <w:r>
          <w:rPr>
            <w:vertAlign w:val="superscript"/>
          </w:rPr>
          <w:t>57</w:t>
        </w:r>
      </w:fldSimple>
      <w:r>
        <w:t xml:space="preserve">，但药品生产企业依法须标注药品属性信息，合法产品标签往往同时包含两类内容，</w:t>
      </w:r>
      <w:r>
        <w:t xml:space="preserve">“</w:t>
      </w:r>
      <w:r>
        <w:t xml:space="preserve">不标明</w:t>
      </w:r>
      <w:r>
        <w:t xml:space="preserve">”</w:t>
      </w:r>
      <w:r>
        <w:t xml:space="preserve">的边界各省执行口径不一，执法不确定性显著</w:t>
      </w:r>
      <w:r>
        <w:rPr>
          <w:vertAlign w:val="superscript"/>
        </w:rPr>
        <w:footnoteReference w:id="66"/>
      </w:r>
      <w:r>
        <w:t xml:space="preserve">。此外，药食同源饮片受潮变质仍可能按劣药论处，零售劣药最低罚款10万元，豁免配备执业中药师的门店在质量养护方面风险更高</w:t>
      </w:r>
      <w:fldSimple w:instr="NOTEREF _Ref_Footnote_67 \h \f">
        <w:r>
          <w:rPr>
            <w:vertAlign w:val="superscript"/>
          </w:rPr>
          <w:t>67</w:t>
        </w:r>
      </w:fldSimple>
      <w:r>
        <w:t xml:space="preserve">。</w:t>
      </w:r>
    </w:p>
    <w:bookmarkEnd w:id="69"/>
    <w:bookmarkStart w:id="70" w:name="药食同源销售放宽降低经营门槛释放市场潜能但也存在规避处方管理的后门风险"/>
    <w:p>
      <w:pPr>
        <w:pStyle w:val="Heading3"/>
      </w:pPr>
      <w:r>
        <w:t xml:space="preserve">4.2.2 药食同源销售放宽降低经营门槛、释放市场潜能，但也存在规避处方管理的“后门”风险</w:t>
      </w:r>
    </w:p>
    <w:p>
      <w:pPr>
        <w:pStyle w:val="FirstParagraph"/>
      </w:pPr>
      <w:r>
        <w:t xml:space="preserve">米内网数据显示，2021年中国城市实体药店终端中药饮片销售规模超250亿元，同比增长3.8%</w:t>
      </w:r>
      <w:r>
        <w:rPr>
          <w:vertAlign w:val="superscript"/>
        </w:rPr>
        <w:footnoteReference w:id="68"/>
      </w:r>
      <w:r>
        <w:t xml:space="preserve">。药食同源目录已扩容至106种，院外市场有望提速。全国执业中药师约占执业药师总量的20%，结构性短缺长期制约基层供应</w:t>
      </w:r>
      <w:r>
        <w:rPr>
          <w:vertAlign w:val="superscript"/>
        </w:rPr>
        <w:footnoteReference w:id="69"/>
      </w:r>
      <w:r>
        <w:t xml:space="preserve">，豁免政策使大量中小药店得以进入该领域。但风险同步存在：部分药店可能将目录外饮片冒充药食同源销售构成超范围经营，或以“非临床配方使用”为名私下提供拆零调配，实质规避处方管理。哈尔滨2023年文件明确“发现拆零销售、调配处方的企业依法查处”</w:t>
      </w:r>
      <w:r>
        <w:rPr>
          <w:vertAlign w:val="superscript"/>
        </w:rPr>
        <w:footnoteReference w:id="70"/>
      </w:r>
      <w:r>
        <w:t xml:space="preserve">，折射出监管警惕。</w:t>
      </w:r>
    </w:p>
    <w:p>
      <w:pPr>
        <w:pStyle w:val="BodyText"/>
      </w:pPr>
      <w:r>
        <w:t xml:space="preserve">从趋势看，药食同源放宽正推动中药零售从“专业调配型”向“健康消费型”转型，契合商务部等12部门《促进健康消费专项行动方案》</w:t>
      </w:r>
      <w:r>
        <w:t xml:space="preserve">“</w:t>
      </w:r>
      <w:r>
        <w:t xml:space="preserve">引导药店拓展健康促进、营养保健等功能</w:t>
      </w:r>
      <w:r>
        <w:t xml:space="preserve">”</w:t>
      </w:r>
      <w:r>
        <w:t xml:space="preserve">的政策导向</w:t>
      </w:r>
      <w:r>
        <w:rPr>
          <w:vertAlign w:val="superscript"/>
        </w:rPr>
        <w:footnoteReference w:id="71"/>
      </w:r>
      <w:r>
        <w:t xml:space="preserve">。但药店需在降低门槛与维持专业信誉间寻求平衡：完全依赖豁免的门店在品质管控上可能弱于专业门店，行业分化预计将加剧。全国药店数量已从2024年约62万家降至2025年约57万家</w:t>
      </w:r>
      <w:r>
        <w:rPr>
          <w:vertAlign w:val="superscript"/>
        </w:rPr>
        <w:footnoteReference w:id="72"/>
      </w:r>
      <w:r>
        <w:t xml:space="preserve">，药食同源销售放宽既是中小药店的生存性红利，也可能成为头部连锁差异化布局的新赛道。未来3—5年，该品类在实体零售渠道的渗透率预计持续提升，但市场准入放宽能否同步转化为监管能力提升，将是决定该细分市场健康发展的关键变量。</w:t>
      </w:r>
    </w:p>
    <w:p>
      <w:r>
        <w:pict>
          <v:rect style="width:0;height:1.5pt" o:hralign="center" o:hrstd="t" o:hr="t"/>
        </w:pict>
      </w:r>
    </w:p>
    <w:bookmarkEnd w:id="70"/>
    <w:bookmarkEnd w:id="71"/>
    <w:bookmarkStart w:id="84" w:name="连锁经营门槛与监管要求全国对比"/>
    <w:p>
      <w:pPr>
        <w:pStyle w:val="Heading2"/>
      </w:pPr>
      <w:r>
        <w:t xml:space="preserve">5. 连锁经营门槛与监管要求全国对比</w:t>
      </w:r>
    </w:p>
    <w:p>
      <w:pPr>
        <w:pStyle w:val="FirstParagraph"/>
      </w:pPr>
      <w:r>
        <w:t xml:space="preserve">药品零售连锁经营门槛是地方药品监管政策的核心杠杆之一，直接决定行业准入难度与市场竞争结构。国家层面并未对连锁门店数量设定统一下限，而是将裁量权下放至省级药监部门，由此形成全国各省份在连锁门槛上的显著梯度差异。与此同时，连锁总部对门店的”统一管理”要求正从政策倡导走向刚性执法，跨省配送中心与批零一体化试点则从物流维度打破区域壁垒。本章对全国各省连锁经营门槛与统一管理要求进行系统对比，揭示政策差异背后的监管逻辑与行业影响。</w:t>
      </w:r>
    </w:p>
    <w:bookmarkStart w:id="76" w:name="连锁经营门槛四大梯队"/>
    <w:p>
      <w:pPr>
        <w:pStyle w:val="Heading3"/>
      </w:pPr>
      <w:r>
        <w:t xml:space="preserve">5.1 连锁经营门槛四大梯队</w:t>
      </w:r>
    </w:p>
    <w:bookmarkStart w:id="72" w:name="高门槛梯队10家及以上主流监管标准"/>
    <w:p>
      <w:pPr>
        <w:pStyle w:val="Heading4"/>
      </w:pPr>
      <w:r>
        <w:t xml:space="preserve">5.1.1 高门槛梯队（10家及以上）：主流监管标准</w:t>
      </w:r>
    </w:p>
    <w:p>
      <w:pPr>
        <w:pStyle w:val="FirstParagraph"/>
      </w:pPr>
      <w:r>
        <w:t xml:space="preserve">截至2025—2026年，将新开办药品零售连锁企业的门店数量门槛设定为10家及以上，已成为全国大多数省份的标配标准。该梯队涵盖山西、北京、上海、广东、四川、山东、湖北、黑龙江、辽宁、安徽、甘肃、青海、湖南（长沙）等逾15个省级行政区。山西省2026年2月发布的《药品零售经营监督管理办法（试行）》第六条明确规定，</w:t>
      </w:r>
      <w:r>
        <w:t xml:space="preserve">“</w:t>
      </w:r>
      <w:r>
        <w:t xml:space="preserve">新开办药品零售连锁企业，连锁门店不少于10家，并持续保持</w:t>
      </w:r>
      <w:r>
        <w:t xml:space="preserve">”</w:t>
      </w:r>
      <w:r>
        <w:t xml:space="preserve">；在许可证有效期届满时若门店数量不达标，</w:t>
      </w:r>
      <w:r>
        <w:t xml:space="preserve">“</w:t>
      </w:r>
      <w:r>
        <w:t xml:space="preserve">不予重新审查发证</w:t>
      </w:r>
      <w:r>
        <w:t xml:space="preserve">”</w:t>
      </w:r>
      <w:r>
        <w:t xml:space="preserve">。</w:t>
      </w:r>
      <w:fldSimple w:instr="NOTEREF _Ref_Footnote_10 \h \f">
        <w:r>
          <w:rPr>
            <w:vertAlign w:val="superscript"/>
          </w:rPr>
          <w:t>10</w:t>
        </w:r>
      </w:fldSimple>
      <w:r>
        <w:t xml:space="preserve"> </w:t>
      </w:r>
      <w:r>
        <w:t xml:space="preserve">四川省2025年发布的《关于进一步明确药品经营监管有关事宜的通知》同样要求不少于10家，但对”老字号等特殊业态”放宽至3家并需提供证明材料。</w:t>
      </w:r>
      <w:r>
        <w:rPr>
          <w:vertAlign w:val="superscript"/>
        </w:rPr>
        <w:footnoteReference w:id="73"/>
      </w:r>
      <w:r>
        <w:t xml:space="preserve"> </w:t>
      </w:r>
      <w:r>
        <w:t xml:space="preserve">天津更进一步，要求”10家及以上均为直营门店”，且新办企业须承诺30个工作日内完成10家直营店的许可证核发或变更，管控强度全国居首。</w:t>
      </w:r>
      <w:r>
        <w:rPr>
          <w:vertAlign w:val="superscript"/>
        </w:rPr>
        <w:footnoteReference w:id="74"/>
      </w:r>
    </w:p>
    <w:p>
      <w:pPr>
        <w:pStyle w:val="BodyText"/>
      </w:pPr>
      <w:r>
        <w:t xml:space="preserve">在物理空间门槛方面，配送中心面积≥500平方米是多数省份的基准要求。山西省规定连锁总部配送中心不少于500平方米，并附加冷库容积不少于50立方米的冷链要求；安徽省要求配送中心≥500平方米且冷库≥20立方米。</w:t>
      </w:r>
      <w:r>
        <w:rPr>
          <w:vertAlign w:val="superscript"/>
        </w:rPr>
        <w:footnoteReference w:id="1075"/>
      </w:r>
      <w:r>
        <w:t xml:space="preserve"> </w:t>
      </w:r>
      <w:r>
        <w:t xml:space="preserve">北京成为高门槛梯队中的例外：2025年3月施行的《北京市药品零售企业许可管理规定》将连锁总部配送中心面积从300平方米下调至200平方米，同时将连锁门店面积从50平方米下调至40平方米，释放出优化营商环境的明确信号。</w:t>
      </w:r>
      <w:r>
        <w:rPr>
          <w:vertAlign w:val="superscript"/>
        </w:rPr>
        <w:footnoteReference w:id="76"/>
      </w:r>
      <w:r>
        <w:t xml:space="preserve"> </w:t>
      </w:r>
      <w:r>
        <w:t xml:space="preserve">连锁门店面积要求在不同地区亦存在分化：山东执行2019年分级分类管理框架，按经营范围将连锁门店面积分为一类≥40平方米、二类≥60平方米、三类≥80平方米三档；湖南长沙则要求连锁门店≥60平方米（其中药品陈列区≥40平方米）。</w:t>
      </w:r>
      <w:r>
        <w:rPr>
          <w:vertAlign w:val="superscript"/>
        </w:rPr>
        <w:footnoteReference w:id="7778"/>
      </w:r>
    </w:p>
    <w:p>
      <w:pPr>
        <w:pStyle w:val="BodyText"/>
      </w:pPr>
      <w:r>
        <w:rPr>
          <w:b/>
          <w:bCs/>
        </w:rPr>
        <w:t xml:space="preserve">表1 主要省份药品零售连锁经营门槛对比</w:t>
      </w:r>
    </w:p>
    <w:tbl>
      <w:tblPr>
        <w:tblStyle w:val="Table"/>
        <w:tblW w:type="pct" w:w="5000"/>
        <w:jc w:val="start"/>
        <w:tblLayout w:type="fixed"/>
        <w:tblLook w:firstRow="1" w:lastRow="0" w:firstColumn="0" w:lastColumn="0" w:noHBand="0" w:noVBand="0" w:val="0020"/>
      </w:tblPr>
      <w:tblGrid>
        <w:gridCol w:w="1037"/>
        <w:gridCol w:w="942"/>
        <w:gridCol w:w="942"/>
        <w:gridCol w:w="1225"/>
        <w:gridCol w:w="942"/>
        <w:gridCol w:w="942"/>
        <w:gridCol w:w="942"/>
        <w:gridCol w:w="942"/>
      </w:tblGrid>
      <w:tr>
        <w:trPr>
          <w:tblHeader w:val="true"/>
        </w:trPr>
        <w:tc>
          <w:tcPr/>
          <w:p>
            <w:pPr>
              <w:pStyle w:val="Compact"/>
              <w:jc w:val="left"/>
            </w:pPr>
            <w:r>
              <w:t xml:space="preserve">省份/地区</w:t>
            </w:r>
          </w:p>
        </w:tc>
        <w:tc>
          <w:tcPr/>
          <w:p>
            <w:pPr>
              <w:pStyle w:val="Compact"/>
              <w:jc w:val="left"/>
            </w:pPr>
            <w:r>
              <w:t xml:space="preserve">门店数量</w:t>
            </w:r>
          </w:p>
        </w:tc>
        <w:tc>
          <w:tcPr/>
          <w:p>
            <w:pPr>
              <w:pStyle w:val="Compact"/>
              <w:jc w:val="left"/>
            </w:pPr>
            <w:r>
              <w:t xml:space="preserve">直营要求</w:t>
            </w:r>
          </w:p>
        </w:tc>
        <w:tc>
          <w:tcPr/>
          <w:p>
            <w:pPr>
              <w:pStyle w:val="Compact"/>
              <w:jc w:val="left"/>
            </w:pPr>
            <w:r>
              <w:t xml:space="preserve">连锁门店面积</w:t>
            </w:r>
          </w:p>
        </w:tc>
        <w:tc>
          <w:tcPr/>
          <w:p>
            <w:pPr>
              <w:pStyle w:val="Compact"/>
              <w:jc w:val="left"/>
            </w:pPr>
            <w:r>
              <w:t xml:space="preserve">总部场所</w:t>
            </w:r>
          </w:p>
        </w:tc>
        <w:tc>
          <w:tcPr/>
          <w:p>
            <w:pPr>
              <w:pStyle w:val="Compact"/>
              <w:jc w:val="left"/>
            </w:pPr>
            <w:r>
              <w:t xml:space="preserve">配送中心</w:t>
            </w:r>
          </w:p>
        </w:tc>
        <w:tc>
          <w:tcPr/>
          <w:p>
            <w:pPr>
              <w:pStyle w:val="Compact"/>
              <w:jc w:val="left"/>
            </w:pPr>
            <w:r>
              <w:t xml:space="preserve">冷库要求</w:t>
            </w:r>
          </w:p>
        </w:tc>
        <w:tc>
          <w:tcPr/>
          <w:p>
            <w:pPr>
              <w:pStyle w:val="Compact"/>
              <w:jc w:val="left"/>
            </w:pPr>
            <w:r>
              <w:t xml:space="preserve">政策文件</w:t>
            </w:r>
          </w:p>
        </w:tc>
      </w:tr>
      <w:tr>
        <w:tc>
          <w:tcPr/>
          <w:p>
            <w:pPr>
              <w:pStyle w:val="Compact"/>
              <w:jc w:val="left"/>
            </w:pPr>
            <w:r>
              <w:t xml:space="preserve">山西</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≥40㎡</w:t>
            </w:r>
          </w:p>
        </w:tc>
        <w:tc>
          <w:tcPr/>
          <w:p>
            <w:pPr>
              <w:pStyle w:val="Compact"/>
              <w:jc w:val="left"/>
            </w:pPr>
            <w:r>
              <w:t xml:space="preserve">≥100㎡</w:t>
            </w:r>
          </w:p>
        </w:tc>
        <w:tc>
          <w:tcPr/>
          <w:p>
            <w:pPr>
              <w:pStyle w:val="Compact"/>
              <w:jc w:val="left"/>
            </w:pPr>
            <w:r>
              <w:t xml:space="preserve">≥500㎡</w:t>
            </w:r>
          </w:p>
        </w:tc>
        <w:tc>
          <w:tcPr/>
          <w:p>
            <w:pPr>
              <w:pStyle w:val="Compact"/>
              <w:jc w:val="left"/>
            </w:pPr>
            <w:r>
              <w:t xml:space="preserve">≥50m³</w:t>
            </w:r>
          </w:p>
        </w:tc>
        <w:tc>
          <w:tcPr/>
          <w:p>
            <w:pPr>
              <w:pStyle w:val="Compact"/>
              <w:jc w:val="left"/>
            </w:pPr>
            <w:r>
              <w:t xml:space="preserve">晋药监规〔2026〕7号</w:t>
            </w:r>
          </w:p>
        </w:tc>
      </w:tr>
      <w:tr>
        <w:tc>
          <w:tcPr/>
          <w:p>
            <w:pPr>
              <w:pStyle w:val="Compact"/>
              <w:jc w:val="left"/>
            </w:pPr>
            <w:r>
              <w:t xml:space="preserve">山东</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分级40/60/80㎡</w:t>
            </w:r>
          </w:p>
        </w:tc>
        <w:tc>
          <w:tcPr/>
          <w:p>
            <w:pPr>
              <w:pStyle w:val="Compact"/>
              <w:jc w:val="left"/>
            </w:pPr>
            <w:r>
              <w:t xml:space="preserve">≥100㎡</w:t>
            </w:r>
          </w:p>
        </w:tc>
        <w:tc>
          <w:tcPr/>
          <w:p>
            <w:pPr>
              <w:pStyle w:val="Compact"/>
              <w:jc w:val="left"/>
            </w:pPr>
            <w:r>
              <w:t xml:space="preserve">≥500㎡</w:t>
            </w:r>
          </w:p>
        </w:tc>
        <w:tc>
          <w:tcPr/>
          <w:p>
            <w:pPr>
              <w:pStyle w:val="Compact"/>
              <w:jc w:val="left"/>
            </w:pPr>
            <w:r>
              <w:t xml:space="preserve">未明确</w:t>
            </w:r>
          </w:p>
        </w:tc>
        <w:tc>
          <w:tcPr/>
          <w:p>
            <w:pPr>
              <w:pStyle w:val="Compact"/>
              <w:jc w:val="left"/>
            </w:pPr>
            <w:r>
              <w:t xml:space="preserve">山东省药品零售连锁企业管理办法</w:t>
            </w:r>
          </w:p>
        </w:tc>
      </w:tr>
      <w:tr>
        <w:tc>
          <w:tcPr/>
          <w:p>
            <w:pPr>
              <w:pStyle w:val="Compact"/>
              <w:jc w:val="left"/>
            </w:pPr>
            <w:r>
              <w:t xml:space="preserve">北京</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≥40㎡</w:t>
            </w:r>
          </w:p>
        </w:tc>
        <w:tc>
          <w:tcPr/>
          <w:p>
            <w:pPr>
              <w:pStyle w:val="Compact"/>
              <w:jc w:val="left"/>
            </w:pPr>
            <w:r>
              <w:t xml:space="preserve">—</w:t>
            </w:r>
          </w:p>
        </w:tc>
        <w:tc>
          <w:tcPr/>
          <w:p>
            <w:pPr>
              <w:pStyle w:val="Compact"/>
              <w:jc w:val="left"/>
            </w:pPr>
            <w:r>
              <w:t xml:space="preserve">≥200㎡</w:t>
            </w:r>
          </w:p>
        </w:tc>
        <w:tc>
          <w:tcPr/>
          <w:p>
            <w:pPr>
              <w:pStyle w:val="Compact"/>
              <w:jc w:val="left"/>
            </w:pPr>
            <w:r>
              <w:t xml:space="preserve">—</w:t>
            </w:r>
          </w:p>
        </w:tc>
        <w:tc>
          <w:tcPr/>
          <w:p>
            <w:pPr>
              <w:pStyle w:val="Compact"/>
              <w:jc w:val="left"/>
            </w:pPr>
            <w:r>
              <w:t xml:space="preserve">京药监发〔2025〕41号</w:t>
            </w:r>
          </w:p>
        </w:tc>
      </w:tr>
      <w:tr>
        <w:tc>
          <w:tcPr/>
          <w:p>
            <w:pPr>
              <w:pStyle w:val="Compact"/>
              <w:jc w:val="left"/>
            </w:pPr>
            <w:r>
              <w:t xml:space="preserve">天津</w:t>
            </w:r>
          </w:p>
        </w:tc>
        <w:tc>
          <w:tcPr/>
          <w:p>
            <w:pPr>
              <w:pStyle w:val="Compact"/>
              <w:jc w:val="left"/>
            </w:pPr>
            <w:r>
              <w:t xml:space="preserve">≥10家</w:t>
            </w:r>
          </w:p>
        </w:tc>
        <w:tc>
          <w:tcPr/>
          <w:p>
            <w:pPr>
              <w:pStyle w:val="Compact"/>
              <w:jc w:val="left"/>
            </w:pPr>
            <w:r>
              <w:t xml:space="preserve">必须直营</w:t>
            </w:r>
          </w:p>
        </w:tc>
        <w:tc>
          <w:tcPr/>
          <w:p>
            <w:pPr>
              <w:pStyle w:val="Compact"/>
              <w:jc w:val="left"/>
            </w:pPr>
            <w:r>
              <w:t xml:space="preserve">—</w:t>
            </w:r>
          </w:p>
        </w:tc>
        <w:tc>
          <w:tcPr/>
          <w:p>
            <w:pPr>
              <w:pStyle w:val="Compact"/>
              <w:jc w:val="left"/>
            </w:pPr>
            <w:r>
              <w:t xml:space="preserve">—</w:t>
            </w:r>
          </w:p>
        </w:tc>
        <w:tc>
          <w:tcPr/>
          <w:p>
            <w:pPr>
              <w:pStyle w:val="Compact"/>
              <w:jc w:val="left"/>
            </w:pPr>
            <w:r>
              <w:t xml:space="preserve">≥500㎡</w:t>
            </w:r>
          </w:p>
        </w:tc>
        <w:tc>
          <w:tcPr/>
          <w:p>
            <w:pPr>
              <w:pStyle w:val="Compact"/>
              <w:jc w:val="left"/>
            </w:pPr>
            <w:r>
              <w:t xml:space="preserve">—</w:t>
            </w:r>
          </w:p>
        </w:tc>
        <w:tc>
          <w:tcPr/>
          <w:p>
            <w:pPr>
              <w:pStyle w:val="Compact"/>
              <w:jc w:val="left"/>
            </w:pPr>
            <w:r>
              <w:t xml:space="preserve">津药监规〔2025〕5号</w:t>
            </w:r>
          </w:p>
        </w:tc>
      </w:tr>
      <w:tr>
        <w:tc>
          <w:tcPr/>
          <w:p>
            <w:pPr>
              <w:pStyle w:val="Compact"/>
              <w:jc w:val="left"/>
            </w:pPr>
            <w:r>
              <w:t xml:space="preserve">广东</w:t>
            </w:r>
          </w:p>
        </w:tc>
        <w:tc>
          <w:tcPr/>
          <w:p>
            <w:pPr>
              <w:pStyle w:val="Compact"/>
              <w:jc w:val="left"/>
            </w:pPr>
            <w:r>
              <w:t xml:space="preserve">≥10家</w:t>
            </w:r>
          </w:p>
        </w:tc>
        <w:tc>
          <w:tcPr/>
          <w:p>
            <w:pPr>
              <w:pStyle w:val="Compact"/>
              <w:jc w:val="left"/>
            </w:pPr>
            <w:r>
              <w:t xml:space="preserve">必须直营</w:t>
            </w:r>
          </w:p>
        </w:tc>
        <w:tc>
          <w:tcPr/>
          <w:p>
            <w:pPr>
              <w:pStyle w:val="Compact"/>
              <w:jc w:val="left"/>
            </w:pPr>
            <w:r>
              <w:t xml:space="preserve">—</w:t>
            </w:r>
          </w:p>
        </w:tc>
        <w:tc>
          <w:tcPr/>
          <w:p>
            <w:pPr>
              <w:pStyle w:val="Compact"/>
              <w:jc w:val="left"/>
            </w:pPr>
            <w:r>
              <w:t xml:space="preserve">≥100㎡</w:t>
            </w:r>
          </w:p>
        </w:tc>
        <w:tc>
          <w:tcPr/>
          <w:p>
            <w:pPr>
              <w:pStyle w:val="Compact"/>
              <w:jc w:val="left"/>
            </w:pPr>
            <w:r>
              <w:t xml:space="preserve">≥500㎡</w:t>
            </w:r>
          </w:p>
        </w:tc>
        <w:tc>
          <w:tcPr/>
          <w:p>
            <w:pPr>
              <w:pStyle w:val="Compact"/>
              <w:jc w:val="left"/>
            </w:pPr>
            <w:r>
              <w:t xml:space="preserve">—</w:t>
            </w:r>
          </w:p>
        </w:tc>
        <w:tc>
          <w:tcPr/>
          <w:p>
            <w:pPr>
              <w:pStyle w:val="Compact"/>
              <w:jc w:val="left"/>
            </w:pPr>
            <w:r>
              <w:t xml:space="preserve">广东省药品经营许可证核准条件</w:t>
            </w:r>
          </w:p>
        </w:tc>
      </w:tr>
      <w:tr>
        <w:tc>
          <w:tcPr/>
          <w:p>
            <w:pPr>
              <w:pStyle w:val="Compact"/>
              <w:jc w:val="left"/>
            </w:pPr>
            <w:r>
              <w:t xml:space="preserve">四川</w:t>
            </w:r>
          </w:p>
        </w:tc>
        <w:tc>
          <w:tcPr/>
          <w:p>
            <w:pPr>
              <w:pStyle w:val="Compact"/>
              <w:jc w:val="left"/>
            </w:pPr>
            <w:r>
              <w:t xml:space="preserve">≥10家（老字号≥3家）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川药监发〔2025〕25号</w:t>
            </w:r>
          </w:p>
        </w:tc>
      </w:tr>
      <w:tr>
        <w:tc>
          <w:tcPr/>
          <w:p>
            <w:pPr>
              <w:pStyle w:val="Compact"/>
              <w:jc w:val="left"/>
            </w:pPr>
            <w:r>
              <w:t xml:space="preserve">黑龙江</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≥100㎡</w:t>
            </w:r>
          </w:p>
        </w:tc>
        <w:tc>
          <w:tcPr/>
          <w:p>
            <w:pPr>
              <w:pStyle w:val="Compact"/>
              <w:jc w:val="left"/>
            </w:pPr>
            <w:r>
              <w:t xml:space="preserve">≥500㎡</w:t>
            </w:r>
          </w:p>
        </w:tc>
        <w:tc>
          <w:tcPr/>
          <w:p>
            <w:pPr>
              <w:pStyle w:val="Compact"/>
              <w:jc w:val="left"/>
            </w:pPr>
            <w:r>
              <w:t xml:space="preserve">—</w:t>
            </w:r>
          </w:p>
        </w:tc>
        <w:tc>
          <w:tcPr/>
          <w:p>
            <w:pPr>
              <w:pStyle w:val="Compact"/>
              <w:jc w:val="left"/>
            </w:pPr>
            <w:r>
              <w:t xml:space="preserve">黑药监规〔2022〕12号</w:t>
            </w:r>
          </w:p>
        </w:tc>
      </w:tr>
      <w:tr>
        <w:tc>
          <w:tcPr/>
          <w:p>
            <w:pPr>
              <w:pStyle w:val="Compact"/>
              <w:jc w:val="left"/>
            </w:pPr>
            <w:r>
              <w:t xml:space="preserve">安徽</w:t>
            </w:r>
          </w:p>
        </w:tc>
        <w:tc>
          <w:tcPr/>
          <w:p>
            <w:pPr>
              <w:pStyle w:val="Compact"/>
              <w:jc w:val="left"/>
            </w:pPr>
            <w:r>
              <w:t xml:space="preserve">≥10家</w:t>
            </w:r>
          </w:p>
        </w:tc>
        <w:tc>
          <w:tcPr/>
          <w:p>
            <w:pPr>
              <w:pStyle w:val="Compact"/>
              <w:jc w:val="left"/>
            </w:pPr>
            <w:r>
              <w:t xml:space="preserve">须省内直营</w:t>
            </w:r>
          </w:p>
        </w:tc>
        <w:tc>
          <w:tcPr/>
          <w:p>
            <w:pPr>
              <w:pStyle w:val="Compact"/>
              <w:jc w:val="left"/>
            </w:pPr>
            <w:r>
              <w:t xml:space="preserve">—</w:t>
            </w:r>
          </w:p>
        </w:tc>
        <w:tc>
          <w:tcPr/>
          <w:p>
            <w:pPr>
              <w:pStyle w:val="Compact"/>
              <w:jc w:val="left"/>
            </w:pPr>
            <w:r>
              <w:t xml:space="preserve">≥100㎡</w:t>
            </w:r>
          </w:p>
        </w:tc>
        <w:tc>
          <w:tcPr/>
          <w:p>
            <w:pPr>
              <w:pStyle w:val="Compact"/>
              <w:jc w:val="left"/>
            </w:pPr>
            <w:r>
              <w:t xml:space="preserve">≥500㎡</w:t>
            </w:r>
          </w:p>
        </w:tc>
        <w:tc>
          <w:tcPr/>
          <w:p>
            <w:pPr>
              <w:pStyle w:val="Compact"/>
              <w:jc w:val="left"/>
            </w:pPr>
            <w:r>
              <w:t xml:space="preserve">≥20m³</w:t>
            </w:r>
          </w:p>
        </w:tc>
        <w:tc>
          <w:tcPr/>
          <w:p>
            <w:pPr>
              <w:pStyle w:val="Compact"/>
              <w:jc w:val="left"/>
            </w:pPr>
            <w:r>
              <w:t xml:space="preserve">安徽省药品零售企业许可验收实施细则</w:t>
            </w:r>
          </w:p>
        </w:tc>
      </w:tr>
      <w:tr>
        <w:tc>
          <w:tcPr/>
          <w:p>
            <w:pPr>
              <w:pStyle w:val="Compact"/>
              <w:jc w:val="left"/>
            </w:pPr>
            <w:r>
              <w:t xml:space="preserve">湖南（长沙）</w:t>
            </w:r>
          </w:p>
        </w:tc>
        <w:tc>
          <w:tcPr/>
          <w:p>
            <w:pPr>
              <w:pStyle w:val="Compact"/>
              <w:jc w:val="left"/>
            </w:pPr>
            <w:r>
              <w:t xml:space="preserve">≥10家</w:t>
            </w:r>
          </w:p>
        </w:tc>
        <w:tc>
          <w:tcPr/>
          <w:p>
            <w:pPr>
              <w:pStyle w:val="Compact"/>
              <w:jc w:val="left"/>
            </w:pPr>
            <w:r>
              <w:t xml:space="preserve">未明确</w:t>
            </w:r>
          </w:p>
        </w:tc>
        <w:tc>
          <w:tcPr/>
          <w:p>
            <w:pPr>
              <w:pStyle w:val="Compact"/>
              <w:jc w:val="left"/>
            </w:pPr>
            <w:r>
              <w:t xml:space="preserve">≥60㎡（药品≥40㎡）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长沙市药品零售企业设置实施细则</w:t>
            </w:r>
          </w:p>
        </w:tc>
      </w:tr>
      <w:tr>
        <w:tc>
          <w:tcPr/>
          <w:p>
            <w:pPr>
              <w:pStyle w:val="Compact"/>
              <w:jc w:val="left"/>
            </w:pPr>
            <w:r>
              <w:t xml:space="preserve">辽宁</w:t>
            </w:r>
          </w:p>
        </w:tc>
        <w:tc>
          <w:tcPr/>
          <w:p>
            <w:pPr>
              <w:pStyle w:val="Compact"/>
              <w:jc w:val="left"/>
            </w:pPr>
            <w:r>
              <w:t xml:space="preserve">≥10家</w:t>
            </w:r>
          </w:p>
        </w:tc>
        <w:tc>
          <w:tcPr/>
          <w:p>
            <w:pPr>
              <w:pStyle w:val="Compact"/>
              <w:jc w:val="left"/>
            </w:pPr>
            <w:r>
              <w:t xml:space="preserve">必须直营</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辽宁省药品零售连锁企业管理办法</w:t>
            </w:r>
          </w:p>
        </w:tc>
      </w:tr>
      <w:tr>
        <w:tc>
          <w:tcPr/>
          <w:p>
            <w:pPr>
              <w:pStyle w:val="Compact"/>
              <w:jc w:val="left"/>
            </w:pPr>
            <w:r>
              <w:t xml:space="preserve">广西</w:t>
            </w:r>
          </w:p>
        </w:tc>
        <w:tc>
          <w:tcPr/>
          <w:p>
            <w:pPr>
              <w:pStyle w:val="Compact"/>
              <w:jc w:val="left"/>
            </w:pPr>
            <w:r>
              <w:t xml:space="preserve">≥3家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广西药品经营监督管理通告</w:t>
            </w:r>
          </w:p>
        </w:tc>
      </w:tr>
      <w:tr>
        <w:tc>
          <w:tcPr/>
          <w:p>
            <w:pPr>
              <w:pStyle w:val="Compact"/>
              <w:jc w:val="left"/>
            </w:pPr>
            <w:r>
              <w:t xml:space="preserve">江西</w:t>
            </w:r>
          </w:p>
        </w:tc>
        <w:tc>
          <w:tcPr/>
          <w:p>
            <w:pPr>
              <w:pStyle w:val="Compact"/>
              <w:jc w:val="left"/>
            </w:pPr>
            <w:r>
              <w:t xml:space="preserve">≥5家</w:t>
            </w:r>
          </w:p>
        </w:tc>
        <w:tc>
          <w:tcPr/>
          <w:p>
            <w:pPr>
              <w:pStyle w:val="Compact"/>
              <w:jc w:val="left"/>
            </w:pPr>
            <w:r>
              <w:t xml:space="preserve">未明确</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江西省药品零售经营监督管理办法（征求意见稿）</w:t>
            </w:r>
          </w:p>
        </w:tc>
      </w:tr>
      <w:tr>
        <w:tc>
          <w:tcPr/>
          <w:p>
            <w:pPr>
              <w:pStyle w:val="Compact"/>
              <w:jc w:val="left"/>
            </w:pPr>
            <w:r>
              <w:t xml:space="preserve">河北</w:t>
            </w:r>
          </w:p>
        </w:tc>
        <w:tc>
          <w:tcPr/>
          <w:p>
            <w:pPr>
              <w:pStyle w:val="Compact"/>
              <w:jc w:val="left"/>
            </w:pPr>
            <w:r>
              <w:t xml:space="preserve">≥6家</w:t>
            </w:r>
          </w:p>
        </w:tc>
        <w:tc>
          <w:tcPr/>
          <w:p>
            <w:pPr>
              <w:pStyle w:val="Compact"/>
              <w:jc w:val="left"/>
            </w:pPr>
            <w:r>
              <w:t xml:space="preserve">未明确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河北省支持药品零售连锁企业发展意见</w:t>
            </w:r>
          </w:p>
        </w:tc>
      </w:tr>
    </w:tbl>
    <w:p>
      <w:pPr>
        <w:pStyle w:val="BodyText"/>
      </w:pPr>
      <w:r>
        <w:t xml:space="preserve">上表呈现了三项关键分化。其一，门店面积与配送中心面积并非简单正相关：北京在门店数量维持10家的同时，将配送中心面积压缩至200平方米，反映高行政效能地区对”轻资产运营”的容忍度更高；而山西、安徽在500平方米基准之上附加冷库容积要求，则与其气候条件及中药饮片经营传统相关。其二，直营要求正在收紧：天津、广东、辽宁均要求10家为直营门店，这意味着加盟模式在这些地区无法作为获取连锁总部资质的入口，总部必须先以重资产模式完成初始布局。其三，山西在第二十六条中设置”许可证有效期届满门店数量不达标则不予重新发证”的刚性条款，使10家门槛从”开办条件”升级为”持续经营条件”，政策约束力显著强于仅对新开办企业设限的省份。</w:t>
      </w:r>
      <w:fldSimple w:instr="NOTEREF _Ref_Footnote_10 \h \f">
        <w:r>
          <w:rPr>
            <w:vertAlign w:val="superscript"/>
          </w:rPr>
          <w:t>10</w:t>
        </w:r>
      </w:fldSimple>
    </w:p>
    <w:bookmarkEnd w:id="72"/>
    <w:bookmarkStart w:id="73" w:name="中门槛梯队58家区域差异化放宽"/>
    <w:p>
      <w:pPr>
        <w:pStyle w:val="Heading4"/>
      </w:pPr>
      <w:r>
        <w:t xml:space="preserve">5.1.2 中门槛梯队（5—8家）：区域差异化放宽</w:t>
      </w:r>
    </w:p>
    <w:p>
      <w:pPr>
        <w:pStyle w:val="FirstParagraph"/>
      </w:pPr>
      <w:r>
        <w:t xml:space="preserve">河北省与江西省构成中门槛梯队。河北省石家庄、保定等地2022年发布的《关于支持药品零售连锁企业发展的意见》将连锁总部门店数量从10家下调至6家，且允许批发企业开办3家及以上单体药店即可申领连锁总部许可证，但须承诺一年内发展至不少于6家门店。</w:t>
      </w:r>
      <w:r>
        <w:rPr>
          <w:vertAlign w:val="superscript"/>
        </w:rPr>
        <w:footnoteReference w:id="79"/>
      </w:r>
      <w:r>
        <w:t xml:space="preserve"> </w:t>
      </w:r>
      <w:r>
        <w:t xml:space="preserve">江西省《药品零售经营监督管理办法（征求意见稿）》要求持续正常经营的连锁门店不少于5家，为华东地区最低门槛之一。</w:t>
      </w:r>
      <w:r>
        <w:rPr>
          <w:vertAlign w:val="superscript"/>
        </w:rPr>
        <w:footnoteReference w:id="80"/>
      </w:r>
      <w:r>
        <w:t xml:space="preserve"> </w:t>
      </w:r>
      <w:r>
        <w:t xml:space="preserve">两省下调门槛的共同背景是区域内连锁率偏低、行业集中度不足，政策意图以较低准入门槛激发市场活力，吸引单体药店通过重组方式快速进入连锁体系。但低门槛亦伴随风险：若监管资源未同步增加，可能催生管理松散、质量参差不齐的”小连锁”，对统一管理的实际执行构成挑战。</w:t>
      </w:r>
    </w:p>
    <w:bookmarkEnd w:id="73"/>
    <w:bookmarkStart w:id="74" w:name="低门槛梯队34家全国最低标准"/>
    <w:p>
      <w:pPr>
        <w:pStyle w:val="Heading4"/>
      </w:pPr>
      <w:r>
        <w:t xml:space="preserve">5.1.3 低门槛梯队（3—4家）：全国最低标准</w:t>
      </w:r>
    </w:p>
    <w:p>
      <w:pPr>
        <w:pStyle w:val="FirstParagraph"/>
      </w:pPr>
      <w:r>
        <w:t xml:space="preserve">广西《关于进一步做好药品经营监督管理有关工作的通告》将药品零售连锁企业的门店数量门槛降至3家，创下全国新低。</w:t>
      </w:r>
      <w:r>
        <w:rPr>
          <w:vertAlign w:val="superscript"/>
        </w:rPr>
        <w:footnoteReference w:id="81"/>
      </w:r>
      <w:r>
        <w:t xml:space="preserve"> </w:t>
      </w:r>
      <w:r>
        <w:t xml:space="preserve">这一政策与广西药品零售连锁率长期低于全国均值的现状直接相关。低门槛策略的短期效应是降低连锁化转型的启动成本，使小型区域药店能够以较低风险试水加盟或联合重组；但长期来看，3家门店的规模难以支撑独立的总部管理架构、质量管理系统和配送体系，极易陷入”名连实散”的困境。因此，广西模式更适用于已有批发背景的企业向下延伸零售网络，而非纯粹的零售端自下而上连锁化。</w:t>
      </w:r>
    </w:p>
    <w:bookmarkEnd w:id="74"/>
    <w:bookmarkStart w:id="75" w:name="特殊模式批零一体化与股权结构放开"/>
    <w:p>
      <w:pPr>
        <w:pStyle w:val="Heading4"/>
      </w:pPr>
      <w:r>
        <w:t xml:space="preserve">5.1.4 特殊模式：批零一体化与股权结构放开</w:t>
      </w:r>
    </w:p>
    <w:p>
      <w:pPr>
        <w:pStyle w:val="FirstParagraph"/>
      </w:pPr>
      <w:r>
        <w:t xml:space="preserve">两类特殊政策创新正在重塑连锁经营的制度框架。海南省2025年3月发布的《关于规范药品批发零售一体化经营工作的通知》（琼药监规〔2025〕2号）允许同一法人主体同时取得药品批发企业与零售连锁总部的双重许可，整合质量管理体系、人员、计算机系统、仓库等资源，实现”批零一体”。</w:t>
      </w:r>
      <w:r>
        <w:rPr>
          <w:vertAlign w:val="superscript"/>
        </w:rPr>
        <w:footnoteReference w:id="82"/>
      </w:r>
      <w:r>
        <w:t xml:space="preserve"> </w:t>
      </w:r>
      <w:r>
        <w:t xml:space="preserve">该模式的核心优势在于消除批发与零售之间的物流重复建设，企业可依托同一套现代物流仓库标准设施同时服务B端与C端，显著降低运营成本。</w:t>
      </w:r>
    </w:p>
    <w:p>
      <w:pPr>
        <w:pStyle w:val="BodyText"/>
      </w:pPr>
      <w:r>
        <w:t xml:space="preserve">北京市2025年新规则取消了此前对”总部对门店持股比例”的限制，并允许连锁总部通过收购单体药店后按变更程序办理许可证，收购期间可不暂停经营。</w:t>
      </w:r>
      <w:fldSimple w:instr="NOTEREF _Ref_Footnote_76 \h \f">
        <w:r>
          <w:rPr>
            <w:vertAlign w:val="superscript"/>
          </w:rPr>
          <w:t>76</w:t>
        </w:r>
      </w:fldSimple>
      <w:r>
        <w:t xml:space="preserve"> </w:t>
      </w:r>
      <w:r>
        <w:t xml:space="preserve">这一政策实质上打通了”先收购、后整合”的扩张路径，为头部连锁通过资本运作快速扩容扫清制度障碍。北京市同时推行老店转加盟免于现场检查的便利化措施，进一步压缩了行政合规成本，对并购整合高峰期形成政策助力。</w:t>
      </w:r>
    </w:p>
    <w:bookmarkEnd w:id="75"/>
    <w:bookmarkEnd w:id="76"/>
    <w:bookmarkStart w:id="80" w:name="七统一与八统一管理"/>
    <w:p>
      <w:pPr>
        <w:pStyle w:val="Heading3"/>
      </w:pPr>
      <w:r>
        <w:t xml:space="preserve">5.2</w:t>
      </w:r>
      <w:r>
        <w:t xml:space="preserve"> </w:t>
      </w:r>
      <w:r>
        <w:t xml:space="preserve">“</w:t>
      </w:r>
      <w:r>
        <w:t xml:space="preserve">七统一</w:t>
      </w:r>
      <w:r>
        <w:t xml:space="preserve">”</w:t>
      </w:r>
      <w:r>
        <w:t xml:space="preserve">与”八统一”管理</w:t>
      </w:r>
    </w:p>
    <w:bookmarkStart w:id="77" w:name="七统一国家强制框架与地方执行"/>
    <w:p>
      <w:pPr>
        <w:pStyle w:val="Heading4"/>
      </w:pPr>
      <w:r>
        <w:t xml:space="preserve">5.2.1</w:t>
      </w:r>
      <w:r>
        <w:t xml:space="preserve"> </w:t>
      </w:r>
      <w:r>
        <w:t xml:space="preserve">“</w:t>
      </w:r>
      <w:r>
        <w:t xml:space="preserve">七统一</w:t>
      </w:r>
      <w:r>
        <w:t xml:space="preserve">”</w:t>
      </w:r>
      <w:r>
        <w:t xml:space="preserve">：国家强制框架与地方执行</w:t>
      </w:r>
    </w:p>
    <w:p>
      <w:pPr>
        <w:pStyle w:val="FirstParagraph"/>
      </w:pPr>
      <w:r>
        <w:t xml:space="preserve">《药品经营和使用质量监督管理办法》（国家市场监督管理总局令第84号，2024年1月1日起施行）第四十三条以部门规章形式将药品零售连锁总部的统一管理要求固化为法定”七统一”：统一企业标识、统一规章制度、统一计算机系统、统一人员培训、统一采购配送、统一票据管理、统一药学服务标准规范。</w:t>
      </w:r>
      <w:r>
        <w:rPr>
          <w:vertAlign w:val="superscript"/>
        </w:rPr>
        <w:footnoteReference w:id="83"/>
      </w:r>
      <w:r>
        <w:t xml:space="preserve"> </w:t>
      </w:r>
      <w:r>
        <w:t xml:space="preserve">该规定标志着”统一管理”从各地倡导性文件上升为国家层面的强制性义务。连锁门店只能接收和销售总部统一采购配送的药品，不得直接从药品上市许可持有人或批发企业购进药品，这一”统一采购配送”条款被视为七统一的核心与执法焦点。</w:t>
      </w:r>
    </w:p>
    <w:p>
      <w:pPr>
        <w:pStyle w:val="BodyText"/>
      </w:pPr>
      <w:r>
        <w:t xml:space="preserve">山西、山东等省份在地方配套文件中严格对接国家七统一框架。山西省药监局在2024年药品流通监督检查工作计划中已将连锁总部执行七统一情况列为重点检查内容，检查完成时限设定为2024年10月20日。</w:t>
      </w:r>
      <w:r>
        <w:rPr>
          <w:vertAlign w:val="superscript"/>
        </w:rPr>
        <w:footnoteReference w:id="84"/>
      </w:r>
      <w:r>
        <w:t xml:space="preserve"> </w:t>
      </w:r>
      <w:r>
        <w:t xml:space="preserve">七统一的执行难点在于加盟门店：加盟店通常具有独立法人资格或独立核算主体，在财务、人事上保留较大自主权，与”统一采购配送”</w:t>
      </w:r>
      <w:r>
        <w:t xml:space="preserve">“</w:t>
      </w:r>
      <w:r>
        <w:t xml:space="preserve">统一票据管理</w:t>
      </w:r>
      <w:r>
        <w:t xml:space="preserve">”</w:t>
      </w:r>
      <w:r>
        <w:t xml:space="preserve">存在天然张力。为此，河北、广东、甘肃等省明确连锁总部对加盟门店与直营门店承担”同等质量管理责任”，甘肃更进一步要求”加盟门店药品必须由总部统一采购配送”，以责任绑定倒逼管理统一。</w:t>
      </w:r>
      <w:r>
        <w:rPr>
          <w:vertAlign w:val="superscript"/>
        </w:rPr>
        <w:footnoteReference w:id="8586"/>
      </w:r>
    </w:p>
    <w:bookmarkEnd w:id="77"/>
    <w:bookmarkStart w:id="78" w:name="八统一云南与青海的地方扩展"/>
    <w:p>
      <w:pPr>
        <w:pStyle w:val="Heading4"/>
      </w:pPr>
      <w:r>
        <w:t xml:space="preserve">5.2.2</w:t>
      </w:r>
      <w:r>
        <w:t xml:space="preserve"> </w:t>
      </w:r>
      <w:r>
        <w:t xml:space="preserve">“</w:t>
      </w:r>
      <w:r>
        <w:t xml:space="preserve">八统一</w:t>
      </w:r>
      <w:r>
        <w:t xml:space="preserve">”</w:t>
      </w:r>
      <w:r>
        <w:t xml:space="preserve">：云南与青海的地方扩展</w:t>
      </w:r>
    </w:p>
    <w:p>
      <w:pPr>
        <w:pStyle w:val="FirstParagraph"/>
      </w:pPr>
      <w:r>
        <w:t xml:space="preserve">在七统一基础上，云南、青海两省进行了管理维度的扩展。云南省《关于进一步促进药品零售企业健康发展的意见》（云药监规〔2019〕1号）推行”八统一”，在七统一基础上增加”统一财务管理”和”统一服务承诺”；青海省2018年发布的《关于鼓励药品实行连锁经营的意见》同样实行八统一，增加”统一财务管理”和”统一网络信息”。</w:t>
      </w:r>
      <w:r>
        <w:rPr>
          <w:vertAlign w:val="superscript"/>
        </w:rPr>
        <w:footnoteReference w:id="8788"/>
      </w:r>
      <w:r>
        <w:t xml:space="preserve"> </w:t>
      </w:r>
      <w:r>
        <w:t xml:space="preserve">两省扩展的逻辑在于：财务管理统一是确保总部对门店资金流、货物流实现闭环管控的关键抓手；服务承诺统一则关系到消费者维权时的责任主体界定。</w:t>
      </w:r>
    </w:p>
    <w:p>
      <w:pPr>
        <w:pStyle w:val="BodyText"/>
      </w:pPr>
      <w:r>
        <w:rPr>
          <w:b/>
          <w:bCs/>
        </w:rPr>
        <w:t xml:space="preserve">表2</w:t>
      </w:r>
      <w:r>
        <w:rPr>
          <w:b/>
          <w:bCs/>
        </w:rPr>
        <w:t xml:space="preserve"> </w:t>
      </w:r>
      <w:r>
        <w:rPr>
          <w:b/>
          <w:bCs/>
        </w:rPr>
        <w:t xml:space="preserve">“</w:t>
      </w:r>
      <w:r>
        <w:rPr>
          <w:b/>
          <w:bCs/>
        </w:rPr>
        <w:t xml:space="preserve">七统一</w:t>
      </w:r>
      <w:r>
        <w:rPr>
          <w:b/>
          <w:bCs/>
        </w:rPr>
        <w:t xml:space="preserve">”</w:t>
      </w:r>
      <w:r>
        <w:rPr>
          <w:b/>
          <w:bCs/>
        </w:rPr>
        <w:t xml:space="preserve">与”八统一”管理要求对比</w:t>
      </w:r>
    </w:p>
    <w:tbl>
      <w:tblPr>
        <w:tblStyle w:val="Table"/>
        <w:tblW w:type="pct" w:w="5000"/>
        <w:jc w:val="start"/>
        <w:tblLayout w:type="fixed"/>
        <w:tblLook w:firstRow="1" w:lastRow="0" w:firstColumn="0" w:lastColumn="0" w:noHBand="0" w:noVBand="0" w:val="0020"/>
      </w:tblPr>
      <w:tblGrid>
        <w:gridCol w:w="910"/>
        <w:gridCol w:w="2002"/>
        <w:gridCol w:w="3004"/>
        <w:gridCol w:w="2002"/>
      </w:tblGrid>
      <w:tr>
        <w:trPr>
          <w:tblHeader w:val="true"/>
        </w:trPr>
        <w:tc>
          <w:tcPr/>
          <w:p>
            <w:pPr>
              <w:pStyle w:val="Compact"/>
              <w:jc w:val="left"/>
            </w:pPr>
            <w:r>
              <w:t xml:space="preserve">统一维度</w:t>
            </w:r>
          </w:p>
        </w:tc>
        <w:tc>
          <w:tcPr/>
          <w:p>
            <w:pPr>
              <w:pStyle w:val="Compact"/>
              <w:jc w:val="left"/>
            </w:pPr>
            <w:r>
              <w:t xml:space="preserve">国家七统一（84号令）</w:t>
            </w:r>
          </w:p>
        </w:tc>
        <w:tc>
          <w:tcPr/>
          <w:p>
            <w:pPr>
              <w:pStyle w:val="Compact"/>
              <w:jc w:val="left"/>
            </w:pPr>
            <w:r>
              <w:t xml:space="preserve">云南八统一（云药监规〔2019〕1号）</w:t>
            </w:r>
          </w:p>
        </w:tc>
        <w:tc>
          <w:tcPr/>
          <w:p>
            <w:pPr>
              <w:pStyle w:val="Compact"/>
              <w:jc w:val="left"/>
            </w:pPr>
            <w:r>
              <w:t xml:space="preserve">青海八统一（2018年）</w:t>
            </w:r>
          </w:p>
        </w:tc>
      </w:tr>
      <w:tr>
        <w:tc>
          <w:tcPr/>
          <w:p>
            <w:pPr>
              <w:pStyle w:val="Compact"/>
              <w:jc w:val="left"/>
            </w:pPr>
            <w:r>
              <w:t xml:space="preserve">企业标识</w:t>
            </w:r>
          </w:p>
        </w:tc>
        <w:tc>
          <w:tcPr/>
          <w:p>
            <w:pPr>
              <w:pStyle w:val="Compact"/>
              <w:jc w:val="left"/>
            </w:pPr>
            <w:r>
              <w:t xml:space="preserve">统一企业标识</w:t>
            </w:r>
          </w:p>
        </w:tc>
        <w:tc>
          <w:tcPr/>
          <w:p>
            <w:pPr>
              <w:pStyle w:val="Compact"/>
              <w:jc w:val="left"/>
            </w:pPr>
            <w:r>
              <w:t xml:space="preserve">统一企业标识</w:t>
            </w:r>
          </w:p>
        </w:tc>
        <w:tc>
          <w:tcPr/>
          <w:p>
            <w:pPr>
              <w:pStyle w:val="Compact"/>
              <w:jc w:val="left"/>
            </w:pPr>
            <w:r>
              <w:t xml:space="preserve">统一品牌标识</w:t>
            </w:r>
          </w:p>
        </w:tc>
      </w:tr>
      <w:tr>
        <w:tc>
          <w:tcPr/>
          <w:p>
            <w:pPr>
              <w:pStyle w:val="Compact"/>
              <w:jc w:val="left"/>
            </w:pPr>
            <w:r>
              <w:t xml:space="preserve">规章制度</w:t>
            </w:r>
          </w:p>
        </w:tc>
        <w:tc>
          <w:tcPr/>
          <w:p>
            <w:pPr>
              <w:pStyle w:val="Compact"/>
              <w:jc w:val="left"/>
            </w:pPr>
            <w:r>
              <w:t xml:space="preserve">统一规章制度</w:t>
            </w:r>
          </w:p>
        </w:tc>
        <w:tc>
          <w:tcPr/>
          <w:p>
            <w:pPr>
              <w:pStyle w:val="Compact"/>
              <w:jc w:val="left"/>
            </w:pPr>
            <w:r>
              <w:t xml:space="preserve">统一企业管理</w:t>
            </w:r>
          </w:p>
        </w:tc>
        <w:tc>
          <w:tcPr/>
          <w:p>
            <w:pPr>
              <w:pStyle w:val="Compact"/>
              <w:jc w:val="left"/>
            </w:pPr>
            <w:r>
              <w:t xml:space="preserve">统一企业管理</w:t>
            </w:r>
          </w:p>
        </w:tc>
      </w:tr>
      <w:tr>
        <w:tc>
          <w:tcPr/>
          <w:p>
            <w:pPr>
              <w:pStyle w:val="Compact"/>
              <w:jc w:val="left"/>
            </w:pPr>
            <w:r>
              <w:t xml:space="preserve">计算机系统</w:t>
            </w:r>
          </w:p>
        </w:tc>
        <w:tc>
          <w:tcPr/>
          <w:p>
            <w:pPr>
              <w:pStyle w:val="Compact"/>
              <w:jc w:val="left"/>
            </w:pPr>
            <w:r>
              <w:t xml:space="preserve">统一计算机系统</w:t>
            </w:r>
          </w:p>
        </w:tc>
        <w:tc>
          <w:tcPr/>
          <w:p>
            <w:pPr>
              <w:pStyle w:val="Compact"/>
              <w:jc w:val="left"/>
            </w:pPr>
            <w:r>
              <w:t xml:space="preserve">统一网络管理</w:t>
            </w:r>
          </w:p>
        </w:tc>
        <w:tc>
          <w:tcPr/>
          <w:p>
            <w:pPr>
              <w:pStyle w:val="Compact"/>
              <w:jc w:val="left"/>
            </w:pPr>
            <w:r>
              <w:t xml:space="preserve">统一网络信息</w:t>
            </w:r>
          </w:p>
        </w:tc>
      </w:tr>
      <w:tr>
        <w:tc>
          <w:tcPr/>
          <w:p>
            <w:pPr>
              <w:pStyle w:val="Compact"/>
              <w:jc w:val="left"/>
            </w:pPr>
            <w:r>
              <w:t xml:space="preserve">人员培训</w:t>
            </w:r>
          </w:p>
        </w:tc>
        <w:tc>
          <w:tcPr/>
          <w:p>
            <w:pPr>
              <w:pStyle w:val="Compact"/>
              <w:jc w:val="left"/>
            </w:pPr>
            <w:r>
              <w:t xml:space="preserve">统一人员培训</w:t>
            </w:r>
          </w:p>
        </w:tc>
        <w:tc>
          <w:tcPr/>
          <w:p>
            <w:pPr>
              <w:pStyle w:val="Compact"/>
              <w:jc w:val="left"/>
            </w:pPr>
            <w:r>
              <w:t xml:space="preserve">统一人员管理</w:t>
            </w:r>
          </w:p>
        </w:tc>
        <w:tc>
          <w:tcPr/>
          <w:p>
            <w:pPr>
              <w:pStyle w:val="Compact"/>
              <w:jc w:val="left"/>
            </w:pPr>
            <w:r>
              <w:t xml:space="preserve">统一人员培训</w:t>
            </w:r>
          </w:p>
        </w:tc>
      </w:tr>
      <w:tr>
        <w:tc>
          <w:tcPr/>
          <w:p>
            <w:pPr>
              <w:pStyle w:val="Compact"/>
              <w:jc w:val="left"/>
            </w:pPr>
            <w:r>
              <w:t xml:space="preserve">采购配送</w:t>
            </w:r>
          </w:p>
        </w:tc>
        <w:tc>
          <w:tcPr/>
          <w:p>
            <w:pPr>
              <w:pStyle w:val="Compact"/>
              <w:jc w:val="left"/>
            </w:pPr>
            <w:r>
              <w:t xml:space="preserve">统一采购配送</w:t>
            </w:r>
          </w:p>
        </w:tc>
        <w:tc>
          <w:tcPr/>
          <w:p>
            <w:pPr>
              <w:pStyle w:val="Compact"/>
              <w:jc w:val="left"/>
            </w:pPr>
            <w:r>
              <w:t xml:space="preserve">统一采购配送</w:t>
            </w:r>
          </w:p>
        </w:tc>
        <w:tc>
          <w:tcPr/>
          <w:p>
            <w:pPr>
              <w:pStyle w:val="Compact"/>
              <w:jc w:val="left"/>
            </w:pPr>
            <w:r>
              <w:t xml:space="preserve">统一采购配送</w:t>
            </w:r>
          </w:p>
        </w:tc>
      </w:tr>
      <w:tr>
        <w:tc>
          <w:tcPr/>
          <w:p>
            <w:pPr>
              <w:pStyle w:val="Compact"/>
              <w:jc w:val="left"/>
            </w:pPr>
            <w:r>
              <w:t xml:space="preserve">票据管理</w:t>
            </w:r>
          </w:p>
        </w:tc>
        <w:tc>
          <w:tcPr/>
          <w:p>
            <w:pPr>
              <w:pStyle w:val="Compact"/>
              <w:jc w:val="left"/>
            </w:pPr>
            <w:r>
              <w:t xml:space="preserve">统一票据管理</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药学服务</w:t>
            </w:r>
          </w:p>
        </w:tc>
        <w:tc>
          <w:tcPr/>
          <w:p>
            <w:pPr>
              <w:pStyle w:val="Compact"/>
              <w:jc w:val="left"/>
            </w:pPr>
            <w:r>
              <w:t xml:space="preserve">统一药学服务标准规范</w:t>
            </w:r>
          </w:p>
        </w:tc>
        <w:tc>
          <w:tcPr/>
          <w:p>
            <w:pPr>
              <w:pStyle w:val="Compact"/>
              <w:jc w:val="left"/>
            </w:pPr>
            <w:r>
              <w:t xml:space="preserve">统一药学服务</w:t>
            </w:r>
          </w:p>
        </w:tc>
        <w:tc>
          <w:tcPr/>
          <w:p>
            <w:pPr>
              <w:pStyle w:val="Compact"/>
              <w:jc w:val="left"/>
            </w:pPr>
            <w:r>
              <w:t xml:space="preserve">统一药学服务</w:t>
            </w:r>
          </w:p>
        </w:tc>
      </w:tr>
      <w:tr>
        <w:tc>
          <w:tcPr/>
          <w:p>
            <w:pPr>
              <w:pStyle w:val="Compact"/>
              <w:jc w:val="left"/>
            </w:pPr>
            <w:r>
              <w:t xml:space="preserve">财务管理</w:t>
            </w:r>
          </w:p>
        </w:tc>
        <w:tc>
          <w:tcPr/>
          <w:p>
            <w:pPr>
              <w:pStyle w:val="Compact"/>
              <w:jc w:val="left"/>
            </w:pPr>
            <w:r>
              <w:t xml:space="preserve">—</w:t>
            </w:r>
          </w:p>
        </w:tc>
        <w:tc>
          <w:tcPr/>
          <w:p>
            <w:pPr>
              <w:pStyle w:val="Compact"/>
              <w:jc w:val="left"/>
            </w:pPr>
            <w:r>
              <w:t xml:space="preserve">统一财务管理</w:t>
            </w:r>
          </w:p>
        </w:tc>
        <w:tc>
          <w:tcPr/>
          <w:p>
            <w:pPr>
              <w:pStyle w:val="Compact"/>
              <w:jc w:val="left"/>
            </w:pPr>
            <w:r>
              <w:t xml:space="preserve">统一财务管理</w:t>
            </w:r>
          </w:p>
        </w:tc>
      </w:tr>
      <w:tr>
        <w:tc>
          <w:tcPr/>
          <w:p>
            <w:pPr>
              <w:pStyle w:val="Compact"/>
              <w:jc w:val="left"/>
            </w:pPr>
            <w:r>
              <w:t xml:space="preserve">服务承诺</w:t>
            </w:r>
          </w:p>
        </w:tc>
        <w:tc>
          <w:tcPr/>
          <w:p>
            <w:pPr>
              <w:pStyle w:val="Compact"/>
              <w:jc w:val="left"/>
            </w:pPr>
            <w:r>
              <w:t xml:space="preserve">—</w:t>
            </w:r>
          </w:p>
        </w:tc>
        <w:tc>
          <w:tcPr/>
          <w:p>
            <w:pPr>
              <w:pStyle w:val="Compact"/>
              <w:jc w:val="left"/>
            </w:pPr>
            <w:r>
              <w:t xml:space="preserve">统一服务承诺</w:t>
            </w:r>
          </w:p>
        </w:tc>
        <w:tc>
          <w:tcPr/>
          <w:p>
            <w:pPr>
              <w:pStyle w:val="Compact"/>
              <w:jc w:val="left"/>
            </w:pPr>
            <w:r>
              <w:t xml:space="preserve">—</w:t>
            </w:r>
          </w:p>
        </w:tc>
      </w:tr>
      <w:tr>
        <w:tc>
          <w:tcPr/>
          <w:p>
            <w:pPr>
              <w:pStyle w:val="Compact"/>
              <w:jc w:val="left"/>
            </w:pPr>
            <w:r>
              <w:t xml:space="preserve">质量管控</w:t>
            </w:r>
          </w:p>
        </w:tc>
        <w:tc>
          <w:tcPr/>
          <w:p>
            <w:pPr>
              <w:pStyle w:val="Compact"/>
              <w:jc w:val="left"/>
            </w:pPr>
            <w:r>
              <w:t xml:space="preserve">—</w:t>
            </w:r>
          </w:p>
        </w:tc>
        <w:tc>
          <w:tcPr/>
          <w:p>
            <w:pPr>
              <w:pStyle w:val="Compact"/>
              <w:jc w:val="left"/>
            </w:pPr>
            <w:r>
              <w:t xml:space="preserve">统一质量控制</w:t>
            </w:r>
          </w:p>
        </w:tc>
        <w:tc>
          <w:tcPr/>
          <w:p>
            <w:pPr>
              <w:pStyle w:val="Compact"/>
              <w:jc w:val="left"/>
            </w:pPr>
            <w:r>
              <w:t xml:space="preserve">统一质量管控</w:t>
            </w:r>
          </w:p>
        </w:tc>
      </w:tr>
    </w:tbl>
    <w:p>
      <w:pPr>
        <w:pStyle w:val="BodyText"/>
      </w:pPr>
      <w:r>
        <w:t xml:space="preserve">上表揭示了两层制度演进特征。第一，云南、青海的八统一并非对七统一的替代，而是基于本地行业结构的增补式扩展：将财务管理和服务承诺纳入统一管理，意在解决加盟模式下门店资金体外循环与服务质量参差不齐的问题。第二，八统一在实践中面临更高执行成本——统一财务管理要求总部建立对门店营业款的集中归集与分配机制，延长加盟店货款回笼周期，对现金流管理提出更苛刻要求。</w:t>
      </w:r>
      <w:r>
        <w:rPr>
          <w:vertAlign w:val="superscript"/>
        </w:rPr>
        <w:footnoteReference w:id="89"/>
      </w:r>
      <w:r>
        <w:t xml:space="preserve"> </w:t>
      </w:r>
      <w:r>
        <w:t xml:space="preserve">因此，八统一模式在直营比例较高的省份更具可行性，而在加盟为主的区域可能遭遇执行阻力。从全国趋势看，七统一仍是绝对主流，八统一尚未被其他地区广泛复制，其政策扩散效应仍有待观察。</w:t>
      </w:r>
    </w:p>
    <w:bookmarkEnd w:id="78"/>
    <w:bookmarkStart w:id="79" w:name="四川高额执法从纸面要求到刚性处罚"/>
    <w:p>
      <w:pPr>
        <w:pStyle w:val="Heading4"/>
      </w:pPr>
      <w:r>
        <w:t xml:space="preserve">5.2.3 四川高额执法：从纸面要求到刚性处罚</w:t>
      </w:r>
    </w:p>
    <w:p>
      <w:pPr>
        <w:pStyle w:val="FirstParagraph"/>
      </w:pPr>
      <w:r>
        <w:t xml:space="preserve">2024年是七统一从”政策倡导”转向”刚性执法”的关键年份。四川省药监局2024年3月发布《关于严格执行药品零售连锁企业”七统一”管理要求的郑重提示》，明确自2024年4月1日起对违规向连锁门店直接销售药品的批发企业，按照未遵守《药品经营质量管理规范》第八十九条进行处罚：逾期不改正的，处10万元以上50万元以下罚款；情节严重的，处50万元以上200万元以下罚款，并责令停产停业整顿直至吊销药品经营许可证。</w:t>
      </w:r>
      <w:r>
        <w:rPr>
          <w:vertAlign w:val="superscript"/>
        </w:rPr>
        <w:footnoteReference w:id="90"/>
      </w:r>
      <w:r>
        <w:t xml:space="preserve"> </w:t>
      </w:r>
      <w:r>
        <w:t xml:space="preserve">达州市市场监督管理局随后细化执行方案，要求各县（市、区）市场监管局对省外药品上市许可持有人、批发企业的违规行为”一律移交当地药品监管部门查处并要求反馈结果”，形成跨省份执法联动机制。</w:t>
      </w:r>
      <w:r>
        <w:rPr>
          <w:vertAlign w:val="superscript"/>
        </w:rPr>
        <w:footnoteReference w:id="91"/>
      </w:r>
    </w:p>
    <w:p>
      <w:pPr>
        <w:pStyle w:val="BodyText"/>
      </w:pPr>
      <w:r>
        <w:t xml:space="preserve">四川执法的突破性在于双向追责：既处罚违规采购的连锁门店，也处罚违规供货的批发企业，同时对法定代表人、主要负责人处以十年直至终身禁业的资格罚。这种”全链条惩戒”结构大幅提高了七统一的违规成本。从行业影响看，四川作为全国连锁率第二的省份（仅次于上海），其严格执法已引发连锁总部加速扩充采购团队、升级计算机系统、强化加盟门店巡查的连锁反应。业内预计，2025年底至2026年初，七统一执行力度的省际差异将显著重塑连锁总部竞争格局，管理能力强、供应链体系完善的大型连锁将吸纳更多加盟资源，而管理薄弱的小型连锁可能面临被兼并或牌照失效的风险。</w:t>
      </w:r>
      <w:fldSimple w:instr="NOTEREF _Ref_Footnote_89 \h \f">
        <w:r>
          <w:rPr>
            <w:vertAlign w:val="superscript"/>
          </w:rPr>
          <w:t>89</w:t>
        </w:r>
      </w:fldSimple>
    </w:p>
    <w:bookmarkEnd w:id="79"/>
    <w:bookmarkEnd w:id="80"/>
    <w:bookmarkStart w:id="83" w:name="跨省配送与全国网络构建"/>
    <w:p>
      <w:pPr>
        <w:pStyle w:val="Heading3"/>
      </w:pPr>
      <w:r>
        <w:t xml:space="preserve">5.3 跨省配送与全国网络构建</w:t>
      </w:r>
    </w:p>
    <w:bookmarkStart w:id="81" w:name="跨省配送中心政策放开"/>
    <w:p>
      <w:pPr>
        <w:pStyle w:val="Heading4"/>
      </w:pPr>
      <w:r>
        <w:t xml:space="preserve">5.3.1 跨省配送中心政策放开</w:t>
      </w:r>
    </w:p>
    <w:p>
      <w:pPr>
        <w:pStyle w:val="FirstParagraph"/>
      </w:pPr>
      <w:r>
        <w:t xml:space="preserve">传统药品零售连锁扩张的最大物流瓶颈在于”一省一仓”：由于药品必须在符合GSP条件的仓库中储存与配送，跨省经营意味着在每个省级行政区独立建设配送中心，固定资产投入与合规成本极高。2024年以来，国家与地方层面相继打破这一壁垒。</w:t>
      </w:r>
    </w:p>
    <w:p>
      <w:pPr>
        <w:pStyle w:val="BodyText"/>
      </w:pPr>
      <w:r>
        <w:t xml:space="preserve">国家药监局2024年第48号公告明确支持跨省设库：药品零售连锁总部申请增设仓库，可向所在地省级药监部门申请，商请仓库所在地省级药监部门同意后，委托现场检查，符合双方要求的按变更仓库地址办理。</w:t>
      </w:r>
      <w:fldSimple w:instr="NOTEREF _Ref_Footnote_4 \h \f">
        <w:r>
          <w:rPr>
            <w:vertAlign w:val="superscript"/>
          </w:rPr>
          <w:t>4</w:t>
        </w:r>
      </w:fldSimple>
      <w:r>
        <w:t xml:space="preserve"> </w:t>
      </w:r>
      <w:r>
        <w:t xml:space="preserve">山西省2026年新规第二十四条进一步明确规定，</w:t>
      </w:r>
      <w:r>
        <w:t xml:space="preserve">“</w:t>
      </w:r>
      <w:r>
        <w:t xml:space="preserve">药品零售连锁总部可以在山西省行政区域内设置异地配送中心（仓库），允许跨省设置配送中心（仓库）</w:t>
      </w:r>
      <w:r>
        <w:t xml:space="preserve">”</w:t>
      </w:r>
      <w:r>
        <w:t xml:space="preserve">。</w:t>
      </w:r>
      <w:r>
        <w:rPr>
          <w:vertAlign w:val="superscript"/>
        </w:rPr>
        <w:footnoteReference w:id="92"/>
      </w:r>
      <w:r>
        <w:t xml:space="preserve"> </w:t>
      </w:r>
      <w:r>
        <w:t xml:space="preserve">江西省在《药品零售经营监督管理办法（征求意见稿）》中亦明确”支持跨省设置配送中心（仓库）</w:t>
      </w:r>
      <w:r>
        <w:t xml:space="preserve">“</w:t>
      </w:r>
      <w:r>
        <w:t xml:space="preserve">并</w:t>
      </w:r>
      <w:r>
        <w:t xml:space="preserve">”</w:t>
      </w:r>
      <w:r>
        <w:t xml:space="preserve">鼓励向省外发展连锁门店”。</w:t>
      </w:r>
      <w:r>
        <w:rPr>
          <w:vertAlign w:val="superscript"/>
        </w:rPr>
        <w:footnoteReference w:id="93"/>
      </w:r>
      <w:r>
        <w:t xml:space="preserve"> </w:t>
      </w:r>
      <w:r>
        <w:t xml:space="preserve">重庆市的政策问答则细化了跨省设门店的操作路径：连锁总部可向门店所在地发证机关提出申请，开办条件需符合当地规定。</w:t>
      </w:r>
      <w:r>
        <w:rPr>
          <w:vertAlign w:val="superscript"/>
        </w:rPr>
        <w:footnoteReference w:id="94"/>
      </w:r>
    </w:p>
    <w:p>
      <w:pPr>
        <w:pStyle w:val="BodyText"/>
      </w:pPr>
      <w:r>
        <w:t xml:space="preserve">跨省配送中心政策的实质是拆分”注册地监管”与”仓储地监管”的绑定关系，使连锁总部可以将配送中心集中布局于物流成本更低的区域（如中西部交通枢纽或医药产业集聚区），以辐射周边多个省份。海南的批零一体化政策则在此基础上更进一步：允许同一法人主体同时拥有批发和零售连锁资质，整合批发与零售的仓库资源，实现更大规模的物流集约化。</w:t>
      </w:r>
      <w:r>
        <w:rPr>
          <w:vertAlign w:val="superscript"/>
        </w:rPr>
        <w:footnoteReference w:id="95"/>
      </w:r>
    </w:p>
    <w:bookmarkEnd w:id="81"/>
    <w:bookmarkStart w:id="82" w:name="政策效应区域壁垒消解与全国性连锁加速形成"/>
    <w:p>
      <w:pPr>
        <w:pStyle w:val="Heading4"/>
      </w:pPr>
      <w:r>
        <w:t xml:space="preserve">5.3.2 政策效应：区域壁垒消解与全国性连锁加速形成</w:t>
      </w:r>
    </w:p>
    <w:p>
      <w:pPr>
        <w:pStyle w:val="FirstParagraph"/>
      </w:pPr>
      <w:r>
        <w:t xml:space="preserve">跨省配送中心与批零一体化政策正在从两个维度重构药品零售行业的竞争版图。第一，物流成本结构优化。以一家拥有500家门店的全国性连锁为例，若按传统”一省一仓”模式，在15个省份需建设15个配送中心，仅仓库固定资产投入即达数千万元级别；跨省设库政策允许其压缩至5—8个区域性配送中心，配合第三方药品现代物流企业的委托配送，资本支出有望下降40%—60%。</w:t>
      </w:r>
      <w:r>
        <w:rPr>
          <w:vertAlign w:val="superscript"/>
        </w:rPr>
        <w:footnoteReference w:id="96"/>
      </w:r>
      <w:r>
        <w:t xml:space="preserve"> </w:t>
      </w:r>
      <w:r>
        <w:t xml:space="preserve">第二，监管属地化困境缓解。药品零售连锁总部的《药品经营许可证》由注册地省级药监部门核发，门店经营行为由门店所在地市县监管部门负责，配送中心若设在第三省份，则形成”注册地—仓储地—经营地”三方监管格局。48号公告确立了”双方药监部门协商同意+联合现场检查”的协调机制，为跨省监管合作提供了程序框架，但具体执行效率仍取决于各省监管资源的匹配程度与信息共享水平。</w:t>
      </w:r>
    </w:p>
    <w:p>
      <w:pPr>
        <w:pStyle w:val="BodyText"/>
      </w:pPr>
      <w:r>
        <w:t xml:space="preserve">从行业集中度视角看，跨省配送政策为全国性连锁巨头（国药控股国大药房、大参林、益丰药房、老百姓等）的跨省扩张扫清了物流障碍，同时对区域中小连锁形成双向挤压：一方面，大型连锁的供应链成本优势进一步扩大；另一方面，区域连锁若无法达到10家门店的持续门槛，可能在许可证到期时面临不予换证的风险。商务部”十四五”药品流通规划设定的”连锁率接近70%“目标窗口临近，2025—2026年预计将迎来并购整合高峰。国家药监局南方医药经济研究所数据显示，2024年全国药店总数约68.4万家，连锁率57.0%，距70%目标仍有约13个百分点的差距；若以2024年闭店3.9万家、头部连锁逆势扩张的趋势推演，2025—2026年行业出清与连锁化提升将同步加速。</w:t>
      </w:r>
      <w:r>
        <w:rPr>
          <w:vertAlign w:val="superscript"/>
        </w:rPr>
        <w:footnoteReference w:id="97"/>
      </w:r>
      <w:r>
        <w:t xml:space="preserve"> </w:t>
      </w:r>
      <w:r>
        <w:t xml:space="preserve">跨省配送中心政策的放开，恰在此时为全国性连锁的规模化扩张提供了基础设施层面的制度支撑，行业集中度的跃升预计将在3—5年内完成从57%至70%以上的关键跨越。</w:t>
      </w:r>
    </w:p>
    <w:p>
      <w:r>
        <w:pict>
          <v:rect style="width:0;height:1.5pt" o:hralign="center" o:hrstd="t" o:hr="t"/>
        </w:pict>
      </w:r>
    </w:p>
    <w:bookmarkEnd w:id="82"/>
    <w:bookmarkEnd w:id="83"/>
    <w:bookmarkEnd w:id="84"/>
    <w:bookmarkStart w:id="100" w:name="远程药学服务与远程审方政策全国对比"/>
    <w:p>
      <w:pPr>
        <w:pStyle w:val="Heading2"/>
      </w:pPr>
      <w:r>
        <w:t xml:space="preserve">6. 远程药学服务与远程审方政策全国对比</w:t>
      </w:r>
    </w:p>
    <w:p>
      <w:pPr>
        <w:pStyle w:val="FirstParagraph"/>
      </w:pPr>
      <w:r>
        <w:t xml:space="preserve">远程审方（Remote Prescription Review）是指药品零售连锁企业总部或第三方机构通过远程网络审方系统，为连锁门店提供在线处方审核与合理用药指导的服务模式。该政策最早可追溯至2013年湖南省长沙市试点，初衷是在执业药师数量严重不足的背景下，通过“互联网+药品流通”技术实现执业药师资源的集约化配置</w:t>
      </w:r>
      <w:r>
        <w:t xml:space="preserve"> </w:t>
      </w:r>
      <w:r>
        <w:rPr>
          <w:vertAlign w:val="superscript"/>
        </w:rPr>
        <w:footnoteReference w:id="98"/>
      </w:r>
      <w:r>
        <w:t xml:space="preserve">。截至2019年，全国已有山东、河北、黑龙江、湖南、海南、陕西、山西、福建、云南等省宣布全面推行远程审方政策</w:t>
      </w:r>
      <w:r>
        <w:t xml:space="preserve"> </w:t>
      </w:r>
      <w:r>
        <w:rPr>
          <w:vertAlign w:val="superscript"/>
        </w:rPr>
        <w:footnoteReference w:id="99"/>
      </w:r>
      <w:r>
        <w:t xml:space="preserve">。2024—2026年间，随着国家层面监管框架收紧，各省远程审方政策在人员配备、审批流程、服务范围及技术标准的分化趋势显著显现，并呈现出从“替代驻店”向“仅作补充”的政策收敛态势。</w:t>
      </w:r>
    </w:p>
    <w:bookmarkStart w:id="88" w:name="各省远程审方核心要素对比"/>
    <w:p>
      <w:pPr>
        <w:pStyle w:val="Heading3"/>
      </w:pPr>
      <w:r>
        <w:t xml:space="preserve">6.1 各省远程审方核心要素对比</w:t>
      </w:r>
    </w:p>
    <w:bookmarkStart w:id="85" w:name="人员配备基数门店与执业药师比例分化显著"/>
    <w:p>
      <w:pPr>
        <w:pStyle w:val="Heading4"/>
      </w:pPr>
      <w:r>
        <w:t xml:space="preserve">6.1.1 人员配备：基数门店与执业药师比例分化显著</w:t>
      </w:r>
    </w:p>
    <w:p>
      <w:pPr>
        <w:pStyle w:val="FirstParagraph"/>
      </w:pPr>
      <w:r>
        <w:t xml:space="preserve">各省对远程审方中心执业药师的配备要求差异显著，主要体现在基数门店数量和增量配比两个维度。云南以10家门店配3名执业药师、每增15家增1名，1名执业药师理论上可覆盖约5家门店，配比最为宽松；福建要求20家门店基数3名、每增10家增1名；北京、重庆采用30家基数3名、每增10家增1名的标准，介于宽松与严格之间</w:t>
      </w:r>
      <w:r>
        <w:t xml:space="preserve"> </w:t>
      </w:r>
      <w:r>
        <w:rPr>
          <w:vertAlign w:val="superscript"/>
        </w:rPr>
        <w:footnoteReference w:id="100"/>
      </w:r>
      <w:r>
        <w:t xml:space="preserve">。山西省2026年新规未按门店比例硬性规定，仅要求远程药学服务部原则上不少于2名执业药师，具体数量与服务范围和规模匹配</w:t>
      </w:r>
      <w:r>
        <w:t xml:space="preserve"> </w:t>
      </w:r>
      <w:fldSimple w:instr="NOTEREF _Ref_Footnote_10 \h \f">
        <w:r>
          <w:rPr>
            <w:vertAlign w:val="superscript"/>
          </w:rPr>
          <w:t>10</w:t>
        </w:r>
      </w:fldSimple>
      <w:r>
        <w:t xml:space="preserve">。</w:t>
      </w:r>
    </w:p>
    <w:p>
      <w:pPr>
        <w:pStyle w:val="BodyText"/>
      </w:pPr>
      <w:r>
        <w:t xml:space="preserve">从门店药师替代政策看，分化更为严重。云南、福建、湖南、黑龙江、重庆、辽宁等省份允许远程审方在一定程度上替代门店执业药师配备，门店只需配备较低资质的药学技术人员；而山西、陕西、北京、上海等地则明确远程审方不得替代驻店执业药师，仅作为不在岗期间或非工作时段的补充</w:t>
      </w:r>
      <w:r>
        <w:t xml:space="preserve"> </w:t>
      </w:r>
      <w:r>
        <w:rPr>
          <w:vertAlign w:val="superscript"/>
        </w:rPr>
        <w:footnoteReference w:id="101"/>
      </w:r>
      <w:r>
        <w:t xml:space="preserve">。以云南为例，开展远程审方业务的连锁门店可不再配备执业药师，仅需至少1名依法经过资格认定的药学技术人员作为质量负责人</w:t>
      </w:r>
      <w:r>
        <w:t xml:space="preserve"> </w:t>
      </w:r>
      <w:r>
        <w:rPr>
          <w:vertAlign w:val="superscript"/>
        </w:rPr>
        <w:footnoteReference w:id="102"/>
      </w:r>
      <w:r>
        <w:t xml:space="preserve">；山西则明确“不得以远程药学服务取代执业药师驻店配备”，且远程药学服务只能为下属连锁门店提供</w:t>
      </w:r>
      <w:r>
        <w:t xml:space="preserve"> </w:t>
      </w:r>
      <w:r>
        <w:rPr>
          <w:vertAlign w:val="superscript"/>
        </w:rPr>
        <w:footnoteReference w:id="103"/>
      </w:r>
      <w:r>
        <w:t xml:space="preserve">。</w:t>
      </w:r>
    </w:p>
    <w:p>
      <w:pPr>
        <w:pStyle w:val="BodyText"/>
      </w:pPr>
      <w:r>
        <w:t xml:space="preserve">下表对10个代表性省份的远程审方核心要素进行12维度系统对比：</w:t>
      </w:r>
    </w:p>
    <w:tbl>
      <w:tblPr>
        <w:tblStyle w:val="Table"/>
        <w:tblW w:type="pct" w:w="5000"/>
        <w:jc w:val="star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维度</w:t>
            </w:r>
          </w:p>
        </w:tc>
        <w:tc>
          <w:tcPr/>
          <w:p>
            <w:pPr>
              <w:pStyle w:val="Compact"/>
              <w:jc w:val="left"/>
            </w:pPr>
            <w:r>
              <w:t xml:space="preserve">云南</w:t>
            </w:r>
          </w:p>
        </w:tc>
        <w:tc>
          <w:tcPr/>
          <w:p>
            <w:pPr>
              <w:pStyle w:val="Compact"/>
              <w:jc w:val="left"/>
            </w:pPr>
            <w:r>
              <w:t xml:space="preserve">福建</w:t>
            </w:r>
          </w:p>
        </w:tc>
        <w:tc>
          <w:tcPr/>
          <w:p>
            <w:pPr>
              <w:pStyle w:val="Compact"/>
              <w:jc w:val="left"/>
            </w:pPr>
            <w:r>
              <w:t xml:space="preserve">北京</w:t>
            </w:r>
          </w:p>
        </w:tc>
        <w:tc>
          <w:tcPr/>
          <w:p>
            <w:pPr>
              <w:pStyle w:val="Compact"/>
              <w:jc w:val="left"/>
            </w:pPr>
            <w:r>
              <w:t xml:space="preserve">山西</w:t>
            </w:r>
          </w:p>
        </w:tc>
        <w:tc>
          <w:tcPr/>
          <w:p>
            <w:pPr>
              <w:pStyle w:val="Compact"/>
              <w:jc w:val="left"/>
            </w:pPr>
            <w:r>
              <w:t xml:space="preserve">湖南</w:t>
            </w:r>
          </w:p>
        </w:tc>
        <w:tc>
          <w:tcPr/>
          <w:p>
            <w:pPr>
              <w:pStyle w:val="Compact"/>
              <w:jc w:val="left"/>
            </w:pPr>
            <w:r>
              <w:t xml:space="preserve">陕西</w:t>
            </w:r>
          </w:p>
        </w:tc>
        <w:tc>
          <w:tcPr/>
          <w:p>
            <w:pPr>
              <w:pStyle w:val="Compact"/>
              <w:jc w:val="left"/>
            </w:pPr>
            <w:r>
              <w:t xml:space="preserve">黑龙江</w:t>
            </w:r>
          </w:p>
        </w:tc>
        <w:tc>
          <w:tcPr/>
          <w:p>
            <w:pPr>
              <w:pStyle w:val="Compact"/>
              <w:jc w:val="left"/>
            </w:pPr>
            <w:r>
              <w:t xml:space="preserve">重庆</w:t>
            </w:r>
          </w:p>
        </w:tc>
        <w:tc>
          <w:tcPr/>
          <w:p>
            <w:pPr>
              <w:pStyle w:val="Compact"/>
              <w:jc w:val="left"/>
            </w:pPr>
            <w:r>
              <w:t xml:space="preserve">辽宁</w:t>
            </w:r>
          </w:p>
        </w:tc>
        <w:tc>
          <w:tcPr/>
          <w:p>
            <w:pPr>
              <w:pStyle w:val="Compact"/>
              <w:jc w:val="left"/>
            </w:pPr>
            <w:r>
              <w:t xml:space="preserve">上海</w:t>
            </w:r>
          </w:p>
        </w:tc>
      </w:tr>
      <w:tr>
        <w:tc>
          <w:tcPr/>
          <w:p>
            <w:pPr>
              <w:pStyle w:val="Compact"/>
              <w:jc w:val="left"/>
            </w:pPr>
            <w:r>
              <w:t xml:space="preserve">政策时间</w:t>
            </w:r>
          </w:p>
        </w:tc>
        <w:tc>
          <w:tcPr/>
          <w:p>
            <w:pPr>
              <w:pStyle w:val="Compact"/>
              <w:jc w:val="left"/>
            </w:pPr>
            <w:r>
              <w:t xml:space="preserve">2019-08</w:t>
            </w:r>
          </w:p>
        </w:tc>
        <w:tc>
          <w:tcPr/>
          <w:p>
            <w:pPr>
              <w:pStyle w:val="Compact"/>
              <w:jc w:val="left"/>
            </w:pPr>
            <w:r>
              <w:t xml:space="preserve">2019-07</w:t>
            </w:r>
          </w:p>
        </w:tc>
        <w:tc>
          <w:tcPr/>
          <w:p>
            <w:pPr>
              <w:pStyle w:val="Compact"/>
              <w:jc w:val="left"/>
            </w:pPr>
            <w:r>
              <w:t xml:space="preserve">2025-03</w:t>
            </w:r>
          </w:p>
        </w:tc>
        <w:tc>
          <w:tcPr/>
          <w:p>
            <w:pPr>
              <w:pStyle w:val="Compact"/>
              <w:jc w:val="left"/>
            </w:pPr>
            <w:r>
              <w:t xml:space="preserve">2026-05</w:t>
            </w:r>
          </w:p>
        </w:tc>
        <w:tc>
          <w:tcPr/>
          <w:p>
            <w:pPr>
              <w:pStyle w:val="Compact"/>
              <w:jc w:val="left"/>
            </w:pPr>
            <w:r>
              <w:t xml:space="preserve">2019-04</w:t>
            </w:r>
          </w:p>
        </w:tc>
        <w:tc>
          <w:tcPr/>
          <w:p>
            <w:pPr>
              <w:pStyle w:val="Compact"/>
              <w:jc w:val="left"/>
            </w:pPr>
            <w:r>
              <w:t xml:space="preserve">2022-12</w:t>
            </w:r>
          </w:p>
        </w:tc>
        <w:tc>
          <w:tcPr/>
          <w:p>
            <w:pPr>
              <w:pStyle w:val="Compact"/>
              <w:jc w:val="left"/>
            </w:pPr>
            <w:r>
              <w:t xml:space="preserve">2019-08</w:t>
            </w:r>
          </w:p>
        </w:tc>
        <w:tc>
          <w:tcPr/>
          <w:p>
            <w:pPr>
              <w:pStyle w:val="Compact"/>
              <w:jc w:val="left"/>
            </w:pPr>
            <w:r>
              <w:t xml:space="preserve">2019-08</w:t>
            </w:r>
          </w:p>
        </w:tc>
        <w:tc>
          <w:tcPr/>
          <w:p>
            <w:pPr>
              <w:pStyle w:val="Compact"/>
              <w:jc w:val="left"/>
            </w:pPr>
            <w:r>
              <w:t xml:space="preserve">征求意见</w:t>
            </w:r>
          </w:p>
        </w:tc>
        <w:tc>
          <w:tcPr/>
          <w:p>
            <w:pPr>
              <w:pStyle w:val="Compact"/>
              <w:jc w:val="left"/>
            </w:pPr>
            <w:r>
              <w:t xml:space="preserve">2024-08</w:t>
            </w:r>
          </w:p>
        </w:tc>
      </w:tr>
      <w:tr>
        <w:tc>
          <w:tcPr/>
          <w:p>
            <w:pPr>
              <w:pStyle w:val="Compact"/>
              <w:jc w:val="left"/>
            </w:pPr>
            <w:r>
              <w:t xml:space="preserve">基数门店</w:t>
            </w:r>
          </w:p>
        </w:tc>
        <w:tc>
          <w:tcPr/>
          <w:p>
            <w:pPr>
              <w:pStyle w:val="Compact"/>
              <w:jc w:val="left"/>
            </w:pPr>
            <w:r>
              <w:t xml:space="preserve">10家</w:t>
            </w:r>
          </w:p>
        </w:tc>
        <w:tc>
          <w:tcPr/>
          <w:p>
            <w:pPr>
              <w:pStyle w:val="Compact"/>
              <w:jc w:val="left"/>
            </w:pPr>
            <w:r>
              <w:t xml:space="preserve">20家</w:t>
            </w:r>
          </w:p>
        </w:tc>
        <w:tc>
          <w:tcPr/>
          <w:p>
            <w:pPr>
              <w:pStyle w:val="Compact"/>
              <w:jc w:val="left"/>
            </w:pPr>
            <w:r>
              <w:t xml:space="preserve">≤30家</w:t>
            </w:r>
          </w:p>
        </w:tc>
        <w:tc>
          <w:tcPr/>
          <w:p>
            <w:pPr>
              <w:pStyle w:val="Compact"/>
              <w:jc w:val="left"/>
            </w:pPr>
            <w:r>
              <w:t xml:space="preserve">未按比例</w:t>
            </w:r>
          </w:p>
        </w:tc>
        <w:tc>
          <w:tcPr/>
          <w:p>
            <w:pPr>
              <w:pStyle w:val="Compact"/>
              <w:jc w:val="left"/>
            </w:pPr>
            <w:r>
              <w:t xml:space="preserve">20家</w:t>
            </w:r>
          </w:p>
        </w:tc>
        <w:tc>
          <w:tcPr/>
          <w:p>
            <w:pPr>
              <w:pStyle w:val="Compact"/>
              <w:jc w:val="left"/>
            </w:pPr>
            <w:r>
              <w:t xml:space="preserve">30家</w:t>
            </w:r>
          </w:p>
        </w:tc>
        <w:tc>
          <w:tcPr/>
          <w:p>
            <w:pPr>
              <w:pStyle w:val="Compact"/>
              <w:jc w:val="left"/>
            </w:pPr>
            <w:r>
              <w:t xml:space="preserve">20家</w:t>
            </w:r>
          </w:p>
        </w:tc>
        <w:tc>
          <w:tcPr/>
          <w:p>
            <w:pPr>
              <w:pStyle w:val="Compact"/>
              <w:jc w:val="left"/>
            </w:pPr>
            <w:r>
              <w:t xml:space="preserve">30家</w:t>
            </w:r>
          </w:p>
        </w:tc>
        <w:tc>
          <w:tcPr/>
          <w:p>
            <w:pPr>
              <w:pStyle w:val="Compact"/>
              <w:jc w:val="left"/>
            </w:pPr>
            <w:r>
              <w:t xml:space="preserve">10家</w:t>
            </w:r>
          </w:p>
        </w:tc>
        <w:tc>
          <w:tcPr/>
          <w:p>
            <w:pPr>
              <w:pStyle w:val="Compact"/>
              <w:jc w:val="left"/>
            </w:pPr>
            <w:r>
              <w:t xml:space="preserve">未按比例</w:t>
            </w:r>
          </w:p>
        </w:tc>
      </w:tr>
      <w:tr>
        <w:tc>
          <w:tcPr/>
          <w:p>
            <w:pPr>
              <w:pStyle w:val="Compact"/>
              <w:jc w:val="left"/>
            </w:pPr>
            <w:r>
              <w:t xml:space="preserve">基数药师</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≥2名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3名</w:t>
            </w:r>
          </w:p>
        </w:tc>
        <w:tc>
          <w:tcPr/>
          <w:p>
            <w:pPr>
              <w:pStyle w:val="Compact"/>
              <w:jc w:val="left"/>
            </w:pPr>
            <w:r>
              <w:t xml:space="preserve">≥2名</w:t>
            </w:r>
          </w:p>
        </w:tc>
      </w:tr>
      <w:tr>
        <w:tc>
          <w:tcPr/>
          <w:p>
            <w:pPr>
              <w:pStyle w:val="Compact"/>
              <w:jc w:val="left"/>
            </w:pPr>
            <w:r>
              <w:t xml:space="preserve">增量配比</w:t>
            </w:r>
          </w:p>
        </w:tc>
        <w:tc>
          <w:tcPr/>
          <w:p>
            <w:pPr>
              <w:pStyle w:val="Compact"/>
              <w:jc w:val="left"/>
            </w:pPr>
            <w:r>
              <w:t xml:space="preserve">每增15家增1名</w:t>
            </w:r>
          </w:p>
        </w:tc>
        <w:tc>
          <w:tcPr/>
          <w:p>
            <w:pPr>
              <w:pStyle w:val="Compact"/>
              <w:jc w:val="left"/>
            </w:pPr>
            <w:r>
              <w:t xml:space="preserve">每增10家增1名</w:t>
            </w:r>
          </w:p>
        </w:tc>
        <w:tc>
          <w:tcPr/>
          <w:p>
            <w:pPr>
              <w:pStyle w:val="Compact"/>
              <w:jc w:val="left"/>
            </w:pPr>
            <w:r>
              <w:t xml:space="preserve">每增10家增1名</w:t>
            </w:r>
          </w:p>
        </w:tc>
        <w:tc>
          <w:tcPr/>
          <w:p>
            <w:pPr>
              <w:pStyle w:val="Compact"/>
              <w:jc w:val="left"/>
            </w:pPr>
            <w:r>
              <w:t xml:space="preserve">按规模匹配</w:t>
            </w:r>
          </w:p>
        </w:tc>
        <w:tc>
          <w:tcPr/>
          <w:p>
            <w:pPr>
              <w:pStyle w:val="Compact"/>
              <w:jc w:val="left"/>
            </w:pPr>
            <w:r>
              <w:t xml:space="preserve">每增20家增1名</w:t>
            </w:r>
          </w:p>
        </w:tc>
        <w:tc>
          <w:tcPr/>
          <w:p>
            <w:pPr>
              <w:pStyle w:val="Compact"/>
              <w:jc w:val="left"/>
            </w:pPr>
            <w:r>
              <w:t xml:space="preserve">每增15家增1名</w:t>
            </w:r>
          </w:p>
        </w:tc>
        <w:tc>
          <w:tcPr/>
          <w:p>
            <w:pPr>
              <w:pStyle w:val="Compact"/>
              <w:jc w:val="left"/>
            </w:pPr>
            <w:r>
              <w:t xml:space="preserve">每增20家增1名</w:t>
            </w:r>
          </w:p>
        </w:tc>
        <w:tc>
          <w:tcPr/>
          <w:p>
            <w:pPr>
              <w:pStyle w:val="Compact"/>
              <w:jc w:val="left"/>
            </w:pPr>
            <w:r>
              <w:t xml:space="preserve">每增10家增1名</w:t>
            </w:r>
          </w:p>
        </w:tc>
        <w:tc>
          <w:tcPr/>
          <w:p>
            <w:pPr>
              <w:pStyle w:val="Compact"/>
              <w:jc w:val="left"/>
            </w:pPr>
            <w:r>
              <w:t xml:space="preserve">每增10家增1名</w:t>
            </w:r>
          </w:p>
        </w:tc>
        <w:tc>
          <w:tcPr/>
          <w:p>
            <w:pPr>
              <w:pStyle w:val="Compact"/>
              <w:jc w:val="left"/>
            </w:pPr>
            <w:r>
              <w:t xml:space="preserve">按规模匹配</w:t>
            </w:r>
          </w:p>
        </w:tc>
      </w:tr>
      <w:tr>
        <w:tc>
          <w:tcPr/>
          <w:p>
            <w:pPr>
              <w:pStyle w:val="Compact"/>
              <w:jc w:val="left"/>
            </w:pPr>
            <w:r>
              <w:t xml:space="preserve">能否替代驻店药师</w:t>
            </w:r>
          </w:p>
        </w:tc>
        <w:tc>
          <w:tcPr/>
          <w:p>
            <w:pPr>
              <w:pStyle w:val="Compact"/>
              <w:jc w:val="left"/>
            </w:pPr>
            <w:r>
              <w:rPr>
                <w:b/>
                <w:bCs/>
              </w:rPr>
              <w:t xml:space="preserve">可替代</w:t>
            </w:r>
          </w:p>
        </w:tc>
        <w:tc>
          <w:tcPr/>
          <w:p>
            <w:pPr>
              <w:pStyle w:val="Compact"/>
              <w:jc w:val="left"/>
            </w:pPr>
            <w:r>
              <w:rPr>
                <w:b/>
                <w:bCs/>
              </w:rPr>
              <w:t xml:space="preserve">可替代</w:t>
            </w:r>
          </w:p>
        </w:tc>
        <w:tc>
          <w:tcPr/>
          <w:p>
            <w:pPr>
              <w:pStyle w:val="Compact"/>
              <w:jc w:val="left"/>
            </w:pPr>
            <w:r>
              <w:rPr>
                <w:b/>
                <w:bCs/>
              </w:rPr>
              <w:t xml:space="preserve">不可替代</w:t>
            </w:r>
          </w:p>
        </w:tc>
        <w:tc>
          <w:tcPr/>
          <w:p>
            <w:pPr>
              <w:pStyle w:val="Compact"/>
              <w:jc w:val="left"/>
            </w:pPr>
            <w:r>
              <w:rPr>
                <w:b/>
                <w:bCs/>
              </w:rPr>
              <w:t xml:space="preserve">明确不可</w:t>
            </w:r>
          </w:p>
        </w:tc>
        <w:tc>
          <w:tcPr/>
          <w:p>
            <w:pPr>
              <w:pStyle w:val="Compact"/>
              <w:jc w:val="left"/>
            </w:pPr>
            <w:r>
              <w:rPr>
                <w:b/>
                <w:bCs/>
              </w:rPr>
              <w:t xml:space="preserve">可替代</w:t>
            </w:r>
          </w:p>
        </w:tc>
        <w:tc>
          <w:tcPr/>
          <w:p>
            <w:pPr>
              <w:pStyle w:val="Compact"/>
              <w:jc w:val="left"/>
            </w:pPr>
            <w:r>
              <w:rPr>
                <w:b/>
                <w:bCs/>
              </w:rPr>
              <w:t xml:space="preserve">明确不可</w:t>
            </w:r>
          </w:p>
        </w:tc>
        <w:tc>
          <w:tcPr/>
          <w:p>
            <w:pPr>
              <w:pStyle w:val="Compact"/>
              <w:jc w:val="left"/>
            </w:pPr>
            <w:r>
              <w:rPr>
                <w:b/>
                <w:bCs/>
              </w:rPr>
              <w:t xml:space="preserve">可替代</w:t>
            </w:r>
          </w:p>
        </w:tc>
        <w:tc>
          <w:tcPr/>
          <w:p>
            <w:pPr>
              <w:pStyle w:val="Compact"/>
              <w:jc w:val="left"/>
            </w:pPr>
            <w:r>
              <w:rPr>
                <w:b/>
                <w:bCs/>
              </w:rPr>
              <w:t xml:space="preserve">可替代</w:t>
            </w:r>
          </w:p>
        </w:tc>
        <w:tc>
          <w:tcPr/>
          <w:p>
            <w:pPr>
              <w:pStyle w:val="Compact"/>
              <w:jc w:val="left"/>
            </w:pPr>
            <w:r>
              <w:rPr>
                <w:b/>
                <w:bCs/>
              </w:rPr>
              <w:t xml:space="preserve">可替代</w:t>
            </w:r>
          </w:p>
        </w:tc>
        <w:tc>
          <w:tcPr/>
          <w:p>
            <w:pPr>
              <w:pStyle w:val="Compact"/>
              <w:jc w:val="left"/>
            </w:pPr>
            <w:r>
              <w:rPr>
                <w:b/>
                <w:bCs/>
              </w:rPr>
              <w:t xml:space="preserve">明确不可</w:t>
            </w:r>
          </w:p>
        </w:tc>
      </w:tr>
      <w:tr>
        <w:tc>
          <w:tcPr/>
          <w:p>
            <w:pPr>
              <w:pStyle w:val="Compact"/>
              <w:jc w:val="left"/>
            </w:pPr>
            <w:r>
              <w:t xml:space="preserve">门店最低配备</w:t>
            </w:r>
          </w:p>
        </w:tc>
        <w:tc>
          <w:tcPr/>
          <w:p>
            <w:pPr>
              <w:pStyle w:val="Compact"/>
              <w:jc w:val="left"/>
            </w:pPr>
            <w:r>
              <w:t xml:space="preserve">1名药学技术人员</w:t>
            </w:r>
          </w:p>
        </w:tc>
        <w:tc>
          <w:tcPr/>
          <w:p>
            <w:pPr>
              <w:pStyle w:val="Compact"/>
              <w:jc w:val="left"/>
            </w:pPr>
            <w:r>
              <w:t xml:space="preserve">1-2名药学技术人员</w:t>
            </w:r>
          </w:p>
        </w:tc>
        <w:tc>
          <w:tcPr/>
          <w:p>
            <w:pPr>
              <w:pStyle w:val="Compact"/>
              <w:jc w:val="left"/>
            </w:pPr>
            <w:r>
              <w:t xml:space="preserve">须配执业药师</w:t>
            </w:r>
          </w:p>
        </w:tc>
        <w:tc>
          <w:tcPr/>
          <w:p>
            <w:pPr>
              <w:pStyle w:val="Compact"/>
              <w:jc w:val="left"/>
            </w:pPr>
            <w:r>
              <w:t xml:space="preserve">须配执业药师</w:t>
            </w:r>
          </w:p>
        </w:tc>
        <w:tc>
          <w:tcPr/>
          <w:p>
            <w:pPr>
              <w:pStyle w:val="Compact"/>
              <w:jc w:val="left"/>
            </w:pPr>
            <w:r>
              <w:t xml:space="preserve">1名药学技术人员</w:t>
            </w:r>
          </w:p>
        </w:tc>
        <w:tc>
          <w:tcPr/>
          <w:p>
            <w:pPr>
              <w:pStyle w:val="Compact"/>
              <w:jc w:val="left"/>
            </w:pPr>
            <w:r>
              <w:t xml:space="preserve">须配执业药师</w:t>
            </w:r>
          </w:p>
        </w:tc>
        <w:tc>
          <w:tcPr/>
          <w:p>
            <w:pPr>
              <w:pStyle w:val="Compact"/>
              <w:jc w:val="left"/>
            </w:pPr>
            <w:r>
              <w:t xml:space="preserve">1名药学中专以上人员</w:t>
            </w:r>
          </w:p>
        </w:tc>
        <w:tc>
          <w:tcPr/>
          <w:p>
            <w:pPr>
              <w:pStyle w:val="Compact"/>
              <w:jc w:val="left"/>
            </w:pPr>
            <w:r>
              <w:t xml:space="preserve">药师以上或药学中专以上</w:t>
            </w:r>
          </w:p>
        </w:tc>
        <w:tc>
          <w:tcPr/>
          <w:p>
            <w:pPr>
              <w:pStyle w:val="Compact"/>
              <w:jc w:val="left"/>
            </w:pPr>
            <w:r>
              <w:t xml:space="preserve">其他药学技术人员</w:t>
            </w:r>
          </w:p>
        </w:tc>
        <w:tc>
          <w:tcPr/>
          <w:p>
            <w:pPr>
              <w:pStyle w:val="Compact"/>
              <w:jc w:val="left"/>
            </w:pPr>
            <w:r>
              <w:t xml:space="preserve">须配执业药师</w:t>
            </w:r>
          </w:p>
        </w:tc>
      </w:tr>
      <w:tr>
        <w:tc>
          <w:tcPr/>
          <w:p>
            <w:pPr>
              <w:pStyle w:val="Compact"/>
              <w:jc w:val="left"/>
            </w:pPr>
            <w:r>
              <w:t xml:space="preserve">跨企业服务</w:t>
            </w:r>
          </w:p>
        </w:tc>
        <w:tc>
          <w:tcPr/>
          <w:p>
            <w:pPr>
              <w:pStyle w:val="Compact"/>
              <w:jc w:val="left"/>
            </w:pPr>
            <w:r>
              <w:t xml:space="preserve">鼓励第三方</w:t>
            </w:r>
          </w:p>
        </w:tc>
        <w:tc>
          <w:tcPr/>
          <w:p>
            <w:pPr>
              <w:pStyle w:val="Compact"/>
              <w:jc w:val="left"/>
            </w:pPr>
            <w:r>
              <w:t xml:space="preserve">仅限所属门店</w:t>
            </w:r>
          </w:p>
        </w:tc>
        <w:tc>
          <w:tcPr/>
          <w:p>
            <w:pPr>
              <w:pStyle w:val="Compact"/>
              <w:jc w:val="left"/>
            </w:pPr>
            <w:r>
              <w:t xml:space="preserve">集团内共享</w:t>
            </w:r>
          </w:p>
        </w:tc>
        <w:tc>
          <w:tcPr/>
          <w:p>
            <w:pPr>
              <w:pStyle w:val="Compact"/>
              <w:jc w:val="left"/>
            </w:pPr>
            <w:r>
              <w:rPr>
                <w:b/>
                <w:bCs/>
              </w:rPr>
              <w:t xml:space="preserve">明确禁止</w:t>
            </w:r>
          </w:p>
        </w:tc>
        <w:tc>
          <w:tcPr/>
          <w:p>
            <w:pPr>
              <w:pStyle w:val="Compact"/>
              <w:jc w:val="left"/>
            </w:pPr>
            <w:r>
              <w:t xml:space="preserve">未明确</w:t>
            </w:r>
          </w:p>
        </w:tc>
        <w:tc>
          <w:tcPr/>
          <w:p>
            <w:pPr>
              <w:pStyle w:val="Compact"/>
              <w:jc w:val="left"/>
            </w:pPr>
            <w:r>
              <w:t xml:space="preserve">仅限自建中心</w:t>
            </w:r>
          </w:p>
        </w:tc>
        <w:tc>
          <w:tcPr/>
          <w:p>
            <w:pPr>
              <w:pStyle w:val="Compact"/>
              <w:jc w:val="left"/>
            </w:pPr>
            <w:r>
              <w:t xml:space="preserve">仅限连锁总部</w:t>
            </w:r>
          </w:p>
        </w:tc>
        <w:tc>
          <w:tcPr/>
          <w:p>
            <w:pPr>
              <w:pStyle w:val="Compact"/>
              <w:jc w:val="left"/>
            </w:pPr>
            <w:r>
              <w:t xml:space="preserve">可委托第三方</w:t>
            </w:r>
          </w:p>
        </w:tc>
        <w:tc>
          <w:tcPr/>
          <w:p>
            <w:pPr>
              <w:pStyle w:val="Compact"/>
              <w:jc w:val="left"/>
            </w:pPr>
            <w:r>
              <w:t xml:space="preserve">仅限所属门店</w:t>
            </w:r>
          </w:p>
        </w:tc>
        <w:tc>
          <w:tcPr/>
          <w:p>
            <w:pPr>
              <w:pStyle w:val="Compact"/>
              <w:jc w:val="left"/>
            </w:pPr>
            <w:r>
              <w:t xml:space="preserve">仅限总部</w:t>
            </w:r>
          </w:p>
        </w:tc>
      </w:tr>
      <w:tr>
        <w:tc>
          <w:tcPr/>
          <w:p>
            <w:pPr>
              <w:pStyle w:val="Compact"/>
              <w:jc w:val="left"/>
            </w:pPr>
            <w:r>
              <w:t xml:space="preserve">审批要求</w:t>
            </w:r>
          </w:p>
        </w:tc>
        <w:tc>
          <w:tcPr/>
          <w:p>
            <w:pPr>
              <w:pStyle w:val="Compact"/>
              <w:jc w:val="left"/>
            </w:pPr>
            <w:r>
              <w:t xml:space="preserve">州/市局初审，省局批准</w:t>
            </w:r>
          </w:p>
        </w:tc>
        <w:tc>
          <w:tcPr/>
          <w:p>
            <w:pPr>
              <w:pStyle w:val="Compact"/>
              <w:jc w:val="left"/>
            </w:pPr>
            <w:r>
              <w:t xml:space="preserve">无需审批，向属地报告</w:t>
            </w:r>
          </w:p>
        </w:tc>
        <w:tc>
          <w:tcPr/>
          <w:p>
            <w:pPr>
              <w:pStyle w:val="Compact"/>
              <w:jc w:val="left"/>
            </w:pPr>
            <w:r>
              <w:t xml:space="preserve">纳入许可管理</w:t>
            </w:r>
          </w:p>
        </w:tc>
        <w:tc>
          <w:tcPr/>
          <w:p>
            <w:pPr>
              <w:pStyle w:val="Compact"/>
              <w:jc w:val="left"/>
            </w:pPr>
            <w:r>
              <w:t xml:space="preserve">药监审批，医保备案</w:t>
            </w:r>
          </w:p>
        </w:tc>
        <w:tc>
          <w:tcPr/>
          <w:p>
            <w:pPr>
              <w:pStyle w:val="Compact"/>
              <w:jc w:val="left"/>
            </w:pPr>
            <w:r>
              <w:t xml:space="preserve">鼓励支持</w:t>
            </w:r>
          </w:p>
        </w:tc>
        <w:tc>
          <w:tcPr/>
          <w:p>
            <w:pPr>
              <w:pStyle w:val="Compact"/>
              <w:jc w:val="left"/>
            </w:pPr>
            <w:r>
              <w:t xml:space="preserve">省局验收公示</w:t>
            </w:r>
          </w:p>
        </w:tc>
        <w:tc>
          <w:tcPr/>
          <w:p>
            <w:pPr>
              <w:pStyle w:val="Compact"/>
              <w:jc w:val="left"/>
            </w:pPr>
            <w:r>
              <w:t xml:space="preserve">未明确</w:t>
            </w:r>
          </w:p>
        </w:tc>
        <w:tc>
          <w:tcPr/>
          <w:p>
            <w:pPr>
              <w:pStyle w:val="Compact"/>
              <w:jc w:val="left"/>
            </w:pPr>
            <w:r>
              <w:t xml:space="preserve">按程序报备</w:t>
            </w:r>
          </w:p>
        </w:tc>
        <w:tc>
          <w:tcPr/>
          <w:p>
            <w:pPr>
              <w:pStyle w:val="Compact"/>
              <w:jc w:val="left"/>
            </w:pPr>
            <w:r>
              <w:t xml:space="preserve">未明确</w:t>
            </w:r>
          </w:p>
        </w:tc>
        <w:tc>
          <w:tcPr/>
          <w:p>
            <w:pPr>
              <w:pStyle w:val="Compact"/>
              <w:jc w:val="left"/>
            </w:pPr>
            <w:r>
              <w:t xml:space="preserve">信息填报</w:t>
            </w:r>
          </w:p>
        </w:tc>
      </w:tr>
      <w:tr>
        <w:tc>
          <w:tcPr/>
          <w:p>
            <w:pPr>
              <w:pStyle w:val="Compact"/>
              <w:jc w:val="left"/>
            </w:pPr>
            <w:r>
              <w:t xml:space="preserve">AI审方</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rPr>
                <w:b/>
                <w:bCs/>
              </w:rPr>
              <w:t xml:space="preserve">明确禁止</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rPr>
                <w:b/>
                <w:bCs/>
              </w:rPr>
              <w:t xml:space="preserve">明确禁止</w:t>
            </w:r>
          </w:p>
        </w:tc>
      </w:tr>
      <w:tr>
        <w:tc>
          <w:tcPr/>
          <w:p>
            <w:pPr>
              <w:pStyle w:val="Compact"/>
              <w:jc w:val="left"/>
            </w:pPr>
            <w:r>
              <w:t xml:space="preserve">特殊药品限制</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毒性药品、二类精神药品等依照规定</w:t>
            </w:r>
          </w:p>
        </w:tc>
        <w:tc>
          <w:tcPr/>
          <w:p>
            <w:pPr>
              <w:pStyle w:val="Compact"/>
              <w:jc w:val="left"/>
            </w:pPr>
            <w:r>
              <w:rPr>
                <w:b/>
                <w:bCs/>
              </w:rPr>
              <w:t xml:space="preserve">毒性药品、二类精神药品、含特殊药品复方制剂不得远程审方</w:t>
            </w:r>
          </w:p>
        </w:tc>
        <w:tc>
          <w:tcPr/>
          <w:p>
            <w:pPr>
              <w:pStyle w:val="Compact"/>
              <w:jc w:val="left"/>
            </w:pPr>
            <w:r>
              <w:t xml:space="preserve">未明确</w:t>
            </w:r>
          </w:p>
        </w:tc>
        <w:tc>
          <w:tcPr/>
          <w:p>
            <w:pPr>
              <w:pStyle w:val="Compact"/>
              <w:jc w:val="left"/>
            </w:pPr>
            <w:r>
              <w:t xml:space="preserve">从其规定</w:t>
            </w:r>
          </w:p>
        </w:tc>
        <w:tc>
          <w:tcPr/>
          <w:p>
            <w:pPr>
              <w:pStyle w:val="Compact"/>
              <w:jc w:val="left"/>
            </w:pPr>
            <w:r>
              <w:t xml:space="preserve">未明确</w:t>
            </w:r>
          </w:p>
        </w:tc>
        <w:tc>
          <w:tcPr/>
          <w:p>
            <w:pPr>
              <w:pStyle w:val="Compact"/>
              <w:jc w:val="left"/>
            </w:pPr>
            <w:r>
              <w:t xml:space="preserve">电子处方限于常见病、慢性病复诊</w:t>
            </w:r>
          </w:p>
        </w:tc>
        <w:tc>
          <w:tcPr/>
          <w:p>
            <w:pPr>
              <w:pStyle w:val="Compact"/>
              <w:jc w:val="left"/>
            </w:pPr>
            <w:r>
              <w:t xml:space="preserve">未明确</w:t>
            </w:r>
          </w:p>
        </w:tc>
        <w:tc>
          <w:tcPr/>
          <w:p>
            <w:pPr>
              <w:pStyle w:val="Compact"/>
              <w:jc w:val="left"/>
            </w:pPr>
            <w:r>
              <w:rPr>
                <w:b/>
                <w:bCs/>
              </w:rPr>
              <w:t xml:space="preserve">毒性药品、二类精神药品、含特殊药品复方制剂不得远程审方</w:t>
            </w:r>
          </w:p>
        </w:tc>
      </w:tr>
      <w:tr>
        <w:tc>
          <w:tcPr/>
          <w:p>
            <w:pPr>
              <w:pStyle w:val="Compact"/>
              <w:jc w:val="left"/>
            </w:pPr>
            <w:r>
              <w:t xml:space="preserve">中药类比例</w:t>
            </w:r>
          </w:p>
        </w:tc>
        <w:tc>
          <w:tcPr/>
          <w:p>
            <w:pPr>
              <w:pStyle w:val="Compact"/>
              <w:jc w:val="left"/>
            </w:pPr>
            <w:r>
              <w:t xml:space="preserve">经营中药饮片需配中药师</w:t>
            </w:r>
          </w:p>
        </w:tc>
        <w:tc>
          <w:tcPr/>
          <w:p>
            <w:pPr>
              <w:pStyle w:val="Compact"/>
              <w:jc w:val="left"/>
            </w:pPr>
            <w:r>
              <w:t xml:space="preserve">至少1名中药师</w:t>
            </w:r>
          </w:p>
        </w:tc>
        <w:tc>
          <w:tcPr/>
          <w:p>
            <w:pPr>
              <w:pStyle w:val="Compact"/>
              <w:jc w:val="left"/>
            </w:pPr>
            <w:r>
              <w:t xml:space="preserve">未单独规定</w:t>
            </w:r>
          </w:p>
        </w:tc>
        <w:tc>
          <w:tcPr/>
          <w:p>
            <w:pPr>
              <w:pStyle w:val="Compact"/>
              <w:jc w:val="left"/>
            </w:pPr>
            <w:r>
              <w:t xml:space="preserve">未单独规定</w:t>
            </w:r>
          </w:p>
        </w:tc>
        <w:tc>
          <w:tcPr/>
          <w:p>
            <w:pPr>
              <w:pStyle w:val="Compact"/>
              <w:jc w:val="left"/>
            </w:pPr>
            <w:r>
              <w:t xml:space="preserve">中药类≥30%</w:t>
            </w:r>
          </w:p>
        </w:tc>
        <w:tc>
          <w:tcPr/>
          <w:p>
            <w:pPr>
              <w:pStyle w:val="Compact"/>
              <w:jc w:val="left"/>
            </w:pPr>
            <w:r>
              <w:t xml:space="preserve">中药类≥30%</w:t>
            </w:r>
          </w:p>
        </w:tc>
        <w:tc>
          <w:tcPr/>
          <w:p>
            <w:pPr>
              <w:pStyle w:val="Compact"/>
              <w:jc w:val="left"/>
            </w:pPr>
            <w:r>
              <w:t xml:space="preserve">1名须为执业中药师</w:t>
            </w:r>
          </w:p>
        </w:tc>
        <w:tc>
          <w:tcPr/>
          <w:p>
            <w:pPr>
              <w:pStyle w:val="Compact"/>
              <w:jc w:val="left"/>
            </w:pPr>
            <w:r>
              <w:t xml:space="preserve">中药类≥25%</w:t>
            </w:r>
          </w:p>
        </w:tc>
        <w:tc>
          <w:tcPr/>
          <w:p>
            <w:pPr>
              <w:pStyle w:val="Compact"/>
              <w:jc w:val="left"/>
            </w:pPr>
            <w:r>
              <w:t xml:space="preserve">至少1名执业中药师</w:t>
            </w:r>
          </w:p>
        </w:tc>
        <w:tc>
          <w:tcPr/>
          <w:p>
            <w:pPr>
              <w:pStyle w:val="Compact"/>
              <w:jc w:val="left"/>
            </w:pPr>
            <w:r>
              <w:t xml:space="preserve">未单独规定</w:t>
            </w:r>
          </w:p>
        </w:tc>
      </w:tr>
      <w:tr>
        <w:tc>
          <w:tcPr/>
          <w:p>
            <w:pPr>
              <w:pStyle w:val="Compact"/>
              <w:jc w:val="left"/>
            </w:pPr>
            <w:r>
              <w:t xml:space="preserve">监管接入</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未明确</w:t>
            </w:r>
          </w:p>
        </w:tc>
        <w:tc>
          <w:tcPr/>
          <w:p>
            <w:pPr>
              <w:pStyle w:val="Compact"/>
              <w:jc w:val="left"/>
            </w:pPr>
            <w:r>
              <w:t xml:space="preserve">配合事中事后检查</w:t>
            </w:r>
          </w:p>
        </w:tc>
        <w:tc>
          <w:tcPr/>
          <w:p>
            <w:pPr>
              <w:pStyle w:val="Compact"/>
              <w:jc w:val="left"/>
            </w:pPr>
            <w:r>
              <w:t xml:space="preserve">未明确</w:t>
            </w:r>
          </w:p>
        </w:tc>
        <w:tc>
          <w:tcPr/>
          <w:p>
            <w:pPr>
              <w:pStyle w:val="Compact"/>
              <w:jc w:val="left"/>
            </w:pPr>
            <w:r>
              <w:t xml:space="preserve">省局实时监控</w:t>
            </w:r>
          </w:p>
        </w:tc>
        <w:tc>
          <w:tcPr/>
          <w:p>
            <w:pPr>
              <w:pStyle w:val="Compact"/>
              <w:jc w:val="left"/>
            </w:pPr>
            <w:r>
              <w:t xml:space="preserve">未明确</w:t>
            </w:r>
          </w:p>
        </w:tc>
        <w:tc>
          <w:tcPr/>
          <w:p>
            <w:pPr>
              <w:pStyle w:val="Compact"/>
              <w:jc w:val="left"/>
            </w:pPr>
            <w:r>
              <w:t xml:space="preserve">开放数据接口</w:t>
            </w:r>
          </w:p>
        </w:tc>
        <w:tc>
          <w:tcPr/>
          <w:p>
            <w:pPr>
              <w:pStyle w:val="Compact"/>
              <w:jc w:val="left"/>
            </w:pPr>
            <w:r>
              <w:t xml:space="preserve">未明确</w:t>
            </w:r>
          </w:p>
        </w:tc>
        <w:tc>
          <w:tcPr/>
          <w:p>
            <w:pPr>
              <w:pStyle w:val="Compact"/>
              <w:jc w:val="left"/>
            </w:pPr>
            <w:r>
              <w:t xml:space="preserve">未明确</w:t>
            </w:r>
          </w:p>
        </w:tc>
      </w:tr>
    </w:tbl>
    <w:p>
      <w:pPr>
        <w:pStyle w:val="BodyText"/>
      </w:pPr>
      <w:r>
        <w:rPr>
          <w:i/>
          <w:iCs/>
        </w:rPr>
        <w:t xml:space="preserve">数据来源：各省药监局公开文件及政策解读</w:t>
      </w:r>
      <w:r>
        <w:rPr>
          <w:i/>
          <w:iCs/>
        </w:rPr>
        <w:t xml:space="preserve"> </w:t>
      </w:r>
      <w:fldSimple w:instr="NOTEREF _Ref_Footnote_100 \h \f">
        <w:r>
          <w:rPr>
            <w:vertAlign w:val="superscript"/>
          </w:rPr>
          <w:t>100</w:t>
        </w:r>
      </w:fldSimple>
      <w:r>
        <w:rPr>
          <w:i/>
          <w:iCs/>
        </w:rPr>
        <w:t xml:space="preserve"> </w:t>
      </w:r>
      <w:fldSimple w:instr="NOTEREF _Ref_Footnote_102 \h \f">
        <w:r>
          <w:rPr>
            <w:vertAlign w:val="superscript"/>
          </w:rPr>
          <w:t>102</w:t>
        </w:r>
      </w:fldSimple>
      <w:r>
        <w:rPr>
          <w:i/>
          <w:iCs/>
        </w:rPr>
        <w:t xml:space="preserve"> </w:t>
      </w:r>
      <w:r>
        <w:rPr>
          <w:vertAlign w:val="superscript"/>
        </w:rPr>
        <w:footnoteReference w:id="104"/>
      </w:r>
      <w:r>
        <w:rPr>
          <w:i/>
          <w:iCs/>
        </w:rPr>
        <w:t xml:space="preserve"> </w:t>
      </w:r>
      <w:r>
        <w:rPr>
          <w:vertAlign w:val="superscript"/>
        </w:rPr>
        <w:footnoteReference w:id="105"/>
      </w:r>
      <w:r>
        <w:rPr>
          <w:i/>
          <w:iCs/>
        </w:rPr>
        <w:t xml:space="preserve"> </w:t>
      </w:r>
      <w:fldSimple w:instr="NOTEREF _Ref_Footnote_10 \h \f">
        <w:r>
          <w:rPr>
            <w:vertAlign w:val="superscript"/>
          </w:rPr>
          <w:t>10</w:t>
        </w:r>
      </w:fldSimple>
      <w:r>
        <w:rPr>
          <w:i/>
          <w:iCs/>
        </w:rPr>
        <w:t xml:space="preserve"> </w:t>
      </w:r>
      <w:r>
        <w:rPr>
          <w:vertAlign w:val="superscript"/>
        </w:rPr>
        <w:footnoteReference w:id="106"/>
      </w:r>
      <w:r>
        <w:rPr>
          <w:i/>
          <w:iCs/>
        </w:rPr>
        <w:t xml:space="preserve"> </w:t>
      </w:r>
      <w:r>
        <w:rPr>
          <w:vertAlign w:val="superscript"/>
        </w:rPr>
        <w:footnoteReference w:id="107"/>
      </w:r>
      <w:r>
        <w:rPr>
          <w:i/>
          <w:iCs/>
        </w:rPr>
        <w:t xml:space="preserve"> </w:t>
      </w:r>
      <w:r>
        <w:rPr>
          <w:vertAlign w:val="superscript"/>
        </w:rPr>
        <w:footnoteReference w:id="108"/>
      </w:r>
      <w:r>
        <w:rPr>
          <w:i/>
          <w:iCs/>
        </w:rPr>
        <w:t xml:space="preserve"> </w:t>
      </w:r>
      <w:r>
        <w:rPr>
          <w:vertAlign w:val="superscript"/>
        </w:rPr>
        <w:footnoteReference w:id="109"/>
      </w:r>
      <w:r>
        <w:rPr>
          <w:i/>
          <w:iCs/>
        </w:rPr>
        <w:t xml:space="preserve"> </w:t>
      </w:r>
      <w:r>
        <w:rPr>
          <w:vertAlign w:val="superscript"/>
        </w:rPr>
        <w:footnoteReference w:id="110"/>
      </w:r>
      <w:r>
        <w:rPr>
          <w:i/>
          <w:iCs/>
        </w:rPr>
        <w:t xml:space="preserve"> </w:t>
      </w:r>
      <w:r>
        <w:rPr>
          <w:vertAlign w:val="superscript"/>
        </w:rPr>
        <w:footnoteReference w:id="111"/>
      </w:r>
      <w:r>
        <w:rPr>
          <w:i/>
          <w:iCs/>
        </w:rPr>
        <w:t xml:space="preserve">。</w:t>
      </w:r>
    </w:p>
    <w:p>
      <w:pPr>
        <w:pStyle w:val="BodyText"/>
      </w:pPr>
      <w:r>
        <w:t xml:space="preserve">上表揭示了三条关键分化线。第一，在人员配比维度上，云南与江西（征求意见稿）分别处于宽松和严格的两极：云南10家基数3名、每增15家增1名，而江西要求30家基数5名、每增10家增1名，相当于1名执业药师覆盖约6家门店</w:t>
      </w:r>
      <w:r>
        <w:t xml:space="preserve"> </w:t>
      </w:r>
      <w:r>
        <w:rPr>
          <w:vertAlign w:val="superscript"/>
        </w:rPr>
        <w:footnoteReference w:id="112"/>
      </w:r>
      <w:r>
        <w:t xml:space="preserve">。第二，在门店药师替代政策上，西南和东北省份普遍允许替代，而华北、华东和西北省份坚持“不可替代”的底线。第三，在跨企业服务维度上，山西明确禁止对外提供远程审方服务，是北京“集团内共享”模式的反向极端，反映出监管部门对“远程审方商业化外包”的审慎态度。</w:t>
      </w:r>
    </w:p>
    <w:bookmarkEnd w:id="85"/>
    <w:bookmarkStart w:id="86" w:name="审批流程从实质性前置审批到企业自主行为"/>
    <w:p>
      <w:pPr>
        <w:pStyle w:val="Heading4"/>
      </w:pPr>
      <w:r>
        <w:t xml:space="preserve">6.1.2 审批流程：从实质性前置审批到企业自主行为</w:t>
      </w:r>
    </w:p>
    <w:p>
      <w:pPr>
        <w:pStyle w:val="FirstParagraph"/>
      </w:pPr>
      <w:r>
        <w:t xml:space="preserve">审批流程的差异直接影响远程审方中心的设立成本和合规风险。陕西省要求连锁企业总部向省局提交书面报告，经检查验收并公示后方可开展，属于实质性前置审批</w:t>
      </w:r>
      <w:r>
        <w:t xml:space="preserve"> </w:t>
      </w:r>
      <w:fldSimple w:instr="NOTEREF _Ref_Footnote_107 \h \f">
        <w:r>
          <w:rPr>
            <w:vertAlign w:val="superscript"/>
          </w:rPr>
          <w:t>107</w:t>
        </w:r>
      </w:fldSimple>
      <w:r>
        <w:t xml:space="preserve">。云南省采取州/市局初审、省局批准的两级审批制</w:t>
      </w:r>
      <w:r>
        <w:t xml:space="preserve"> </w:t>
      </w:r>
      <w:fldSimple w:instr="NOTEREF _Ref_Footnote_102 \h \f">
        <w:r>
          <w:rPr>
            <w:vertAlign w:val="superscript"/>
          </w:rPr>
          <w:t>102</w:t>
        </w:r>
      </w:fldSimple>
      <w:r>
        <w:t xml:space="preserve">。福建省则明确连锁总部开展远程审方“属于企业自主行为，无需向省药品监督管理局申报审批”，仅需向属地稽查办公室报告</w:t>
      </w:r>
      <w:r>
        <w:t xml:space="preserve"> </w:t>
      </w:r>
      <w:fldSimple w:instr="NOTEREF _Ref_Footnote_104 \h \f">
        <w:r>
          <w:rPr>
            <w:vertAlign w:val="superscript"/>
          </w:rPr>
          <w:t>104</w:t>
        </w:r>
      </w:fldSimple>
      <w:r>
        <w:t xml:space="preserve">。山西省2026年新规则采取“总部自我评价+药监审批+医保备案”的三重路径，要求企业认定符合要求后将评价情况向省局及门店许可证发证机关报告，并配合监督检查</w:t>
      </w:r>
      <w:r>
        <w:t xml:space="preserve"> </w:t>
      </w:r>
      <w:fldSimple w:instr="NOTEREF _Ref_Footnote_10 \h \f">
        <w:r>
          <w:rPr>
            <w:vertAlign w:val="superscript"/>
          </w:rPr>
          <w:t>10</w:t>
        </w:r>
      </w:fldSimple>
      <w:r>
        <w:t xml:space="preserve">。这种审批模式的差异化，本质上是各省在“鼓励创新”与“审慎监管”之间不同平衡点的体现。</w:t>
      </w:r>
    </w:p>
    <w:bookmarkEnd w:id="86"/>
    <w:bookmarkStart w:id="87" w:name="服务范围集团内部共享与跨企业限制并存"/>
    <w:p>
      <w:pPr>
        <w:pStyle w:val="Heading4"/>
      </w:pPr>
      <w:r>
        <w:t xml:space="preserve">6.1.3 服务范围：集团内部共享与跨企业限制并存</w:t>
      </w:r>
    </w:p>
    <w:p>
      <w:pPr>
        <w:pStyle w:val="FirstParagraph"/>
      </w:pPr>
      <w:r>
        <w:t xml:space="preserve">在服务范围上，北京允许同一实际控制人或同一集团内的多个连锁总部共享远程审方中心，体现了对集团化、规模化发展的政策鼓励</w:t>
      </w:r>
      <w:r>
        <w:t xml:space="preserve"> </w:t>
      </w:r>
      <w:fldSimple w:instr="NOTEREF _Ref_Footnote_105 \h \f">
        <w:r>
          <w:rPr>
            <w:vertAlign w:val="superscript"/>
          </w:rPr>
          <w:t>105</w:t>
        </w:r>
      </w:fldSimple>
      <w:r>
        <w:t xml:space="preserve">。山西则明确远程药学服务“只能为下属连锁门店提供，不得对其他药品零售和连锁企业提供远程审方等药事服务”，是目前省级文件中对服务范围限制最严格的表述</w:t>
      </w:r>
      <w:r>
        <w:t xml:space="preserve"> </w:t>
      </w:r>
      <w:fldSimple w:instr="NOTEREF _Ref_Footnote_103 \h \f">
        <w:r>
          <w:rPr>
            <w:vertAlign w:val="superscript"/>
          </w:rPr>
          <w:t>103</w:t>
        </w:r>
      </w:fldSimple>
      <w:r>
        <w:t xml:space="preserve">。重庆走得更远，允许委托第三方机构开展远程药学服务，甚至单体药店也可申请参加，为第三方远程审方平台提供了制度空间</w:t>
      </w:r>
      <w:r>
        <w:t xml:space="preserve"> </w:t>
      </w:r>
      <w:fldSimple w:instr="NOTEREF _Ref_Footnote_109 \h \f">
        <w:r>
          <w:rPr>
            <w:vertAlign w:val="superscript"/>
          </w:rPr>
          <w:t>109</w:t>
        </w:r>
      </w:fldSimple>
      <w:r>
        <w:t xml:space="preserve">。云南亦明确鼓励药品零售企业采取向社会第三方购买服务的方式开展远程审方</w:t>
      </w:r>
      <w:r>
        <w:t xml:space="preserve"> </w:t>
      </w:r>
      <w:fldSimple w:instr="NOTEREF _Ref_Footnote_102 \h \f">
        <w:r>
          <w:rPr>
            <w:vertAlign w:val="superscript"/>
          </w:rPr>
          <w:t>102</w:t>
        </w:r>
      </w:fldSimple>
      <w:r>
        <w:t xml:space="preserve">。两者看似矛盾，实则统一：政策鼓励内部资源整合，限制外部商业化跨企业服务，但允许第三方平台在合规前提下为分散的单体药店提供集约化服务。</w:t>
      </w:r>
    </w:p>
    <w:bookmarkEnd w:id="87"/>
    <w:bookmarkEnd w:id="88"/>
    <w:bookmarkStart w:id="92" w:name="ai审方与技术标准"/>
    <w:p>
      <w:pPr>
        <w:pStyle w:val="Heading3"/>
      </w:pPr>
      <w:r>
        <w:t xml:space="preserve">6.2 AI审方与技术标准</w:t>
      </w:r>
    </w:p>
    <w:bookmarkStart w:id="89" w:name="国家层面2026年5月合规指南明确禁止ai替代审方"/>
    <w:p>
      <w:pPr>
        <w:pStyle w:val="Heading4"/>
      </w:pPr>
      <w:r>
        <w:t xml:space="preserve">6.2.1 国家层面：2026年5月合规指南明确禁止AI替代审方</w:t>
      </w:r>
    </w:p>
    <w:p>
      <w:pPr>
        <w:pStyle w:val="FirstParagraph"/>
      </w:pPr>
      <w:r>
        <w:t xml:space="preserve">2026年5月25日，国家药监局正式发布《处方药网络零售合规指南》，以强制性用语明确：</w:t>
      </w:r>
      <w:r>
        <w:t xml:space="preserve">“</w:t>
      </w:r>
      <w:r>
        <w:t xml:space="preserve">药品网络零售企业要确保本企业的处方审核工作由执业药师开展，不得由其他岗位人员或者人工智能代为实施。</w:t>
      </w:r>
      <w:r>
        <w:t xml:space="preserve">”</w:t>
      </w:r>
      <w:r>
        <w:t xml:space="preserve"> </w:t>
      </w:r>
      <w:r>
        <w:rPr>
          <w:vertAlign w:val="superscript"/>
        </w:rPr>
        <w:footnoteReference w:id="113"/>
      </w:r>
      <w:r>
        <w:t xml:space="preserve"> </w:t>
      </w:r>
      <w:r>
        <w:t xml:space="preserve">对比2025年9月征求意见稿中“避免……代为实施”的温和措辞，正式版将“避免”升级为“不得”，约束力显著增强</w:t>
      </w:r>
      <w:r>
        <w:t xml:space="preserve"> </w:t>
      </w:r>
      <w:r>
        <w:rPr>
          <w:vertAlign w:val="superscript"/>
        </w:rPr>
        <w:footnoteReference w:id="114"/>
      </w:r>
      <w:r>
        <w:t xml:space="preserve">。此外，第三方平台被赋义务“运用技术手段及时识别、拦截通过平台流转的人工智能处方和虚假处方”</w:t>
      </w:r>
      <w:r>
        <w:t xml:space="preserve"> </w:t>
      </w:r>
      <w:fldSimple w:instr="NOTEREF _Ref_Footnote_113 \h \f">
        <w:r>
          <w:rPr>
            <w:vertAlign w:val="superscript"/>
          </w:rPr>
          <w:t>113</w:t>
        </w:r>
      </w:fldSimple>
      <w:r>
        <w:t xml:space="preserve">。该指南的出台，标志着远程审方从早期的“地方探索”进入“全国统一规范”阶段，对各省既有远程审方政策形成上位法约束。AI审方禁令意味着头部医药电商平台在审方环节的人力成本将直接上升，倒逼其药师队伍从“规模覆盖”向“专业服务”转型。</w:t>
      </w:r>
    </w:p>
    <w:bookmarkEnd w:id="89"/>
    <w:bookmarkStart w:id="90" w:name="地方层面山西上海先行禁止ai自动审方"/>
    <w:p>
      <w:pPr>
        <w:pStyle w:val="Heading4"/>
      </w:pPr>
      <w:r>
        <w:t xml:space="preserve">6.2.2 地方层面：山西、上海先行禁止AI自动审方</w:t>
      </w:r>
    </w:p>
    <w:p>
      <w:pPr>
        <w:pStyle w:val="FirstParagraph"/>
      </w:pPr>
      <w:r>
        <w:t xml:space="preserve">在国家级指南出台前，部分省份已先行探索AI审方禁令。山西省（2026年2月）明确“不得采用人工智能对处方药自动审方”，是全国省级药品零售监管规章中最早将AI自动审方列为禁止性条款的省份之一</w:t>
      </w:r>
      <w:r>
        <w:t xml:space="preserve"> </w:t>
      </w:r>
      <w:fldSimple w:instr="NOTEREF _Ref_Footnote_10 \h \f">
        <w:r>
          <w:rPr>
            <w:vertAlign w:val="superscript"/>
          </w:rPr>
          <w:t>10</w:t>
        </w:r>
      </w:fldSimple>
      <w:r>
        <w:t xml:space="preserve">。上海市（2024年8月）在《药品零售企业许可验收实施细则》中同样明确“不得采用人工智能对处方药自动审方”</w:t>
      </w:r>
      <w:r>
        <w:t xml:space="preserve"> </w:t>
      </w:r>
      <w:fldSimple w:instr="NOTEREF _Ref_Footnote_111 \h \f">
        <w:r>
          <w:rPr>
            <w:vertAlign w:val="superscript"/>
          </w:rPr>
          <w:t>111</w:t>
        </w:r>
      </w:fldSimple>
      <w:r>
        <w:t xml:space="preserve">。江西省（2024年9月征求意见稿）将“是否由人工智能代替执业药师本人审方”列为远程审方现场检查的重点内容之一</w:t>
      </w:r>
      <w:r>
        <w:t xml:space="preserve"> </w:t>
      </w:r>
      <w:fldSimple w:instr="NOTEREF _Ref_Footnote_112 \h \f">
        <w:r>
          <w:rPr>
            <w:vertAlign w:val="superscript"/>
          </w:rPr>
          <w:t>112</w:t>
        </w:r>
      </w:fldSimple>
      <w:r>
        <w:t xml:space="preserve">。地方政策对AI审方的态度经历了从“未提及”到“检查关注”再到“明令禁止”的演进，国家药监局2026年5月指南的发布，实际上是对山西、上海等地先行探索的确认与全国推广。尽管AI被禁止替代执业药师进行最终审方决策，但行业共识认为AI在处方初筛、药物相互作用提示、剂量异常预警等辅助环节仍可发挥价值</w:t>
      </w:r>
      <w:r>
        <w:t xml:space="preserve"> </w:t>
      </w:r>
      <w:r>
        <w:rPr>
          <w:vertAlign w:val="superscript"/>
        </w:rPr>
        <w:footnoteReference w:id="115"/>
      </w:r>
      <w:r>
        <w:t xml:space="preserve">。最终判断只能由执业药师完成，这一边界已被国家法规和地方规章共同锁定。</w:t>
      </w:r>
    </w:p>
    <w:bookmarkEnd w:id="90"/>
    <w:bookmarkStart w:id="91" w:name="技术系统标准硬件软件与监管接入形成统一共识"/>
    <w:p>
      <w:pPr>
        <w:pStyle w:val="Heading4"/>
      </w:pPr>
      <w:r>
        <w:t xml:space="preserve">6.2.3 技术系统标准：硬件、软件与监管接入形成统一共识</w:t>
      </w:r>
    </w:p>
    <w:p>
      <w:pPr>
        <w:pStyle w:val="FirstParagraph"/>
      </w:pPr>
      <w:r>
        <w:t xml:space="preserve">各省对远程审方技术系统的硬件要求已逐渐形成高度共识。下表对比主要技术要素的典型参数要求：</w:t>
      </w:r>
    </w:p>
    <w:tbl>
      <w:tblPr>
        <w:tblStyle w:val="Table"/>
        <w:tblW w:type="pct" w:w="5000"/>
        <w:jc w:val="start"/>
        <w:tblLayout w:type="fixed"/>
        <w:tblLook w:firstRow="1" w:lastRow="0" w:firstColumn="0" w:lastColumn="0" w:noHBand="0" w:noVBand="0" w:val="0020"/>
      </w:tblPr>
      <w:tblGrid>
        <w:gridCol w:w="2640"/>
        <w:gridCol w:w="2640"/>
        <w:gridCol w:w="2640"/>
      </w:tblGrid>
      <w:tr>
        <w:trPr>
          <w:tblHeader w:val="true"/>
        </w:trPr>
        <w:tc>
          <w:tcPr/>
          <w:p>
            <w:pPr>
              <w:pStyle w:val="Compact"/>
              <w:jc w:val="left"/>
            </w:pPr>
            <w:r>
              <w:t xml:space="preserve">技术要素</w:t>
            </w:r>
          </w:p>
        </w:tc>
        <w:tc>
          <w:tcPr/>
          <w:p>
            <w:pPr>
              <w:pStyle w:val="Compact"/>
              <w:jc w:val="left"/>
            </w:pPr>
            <w:r>
              <w:t xml:space="preserve">典型参数要求</w:t>
            </w:r>
          </w:p>
        </w:tc>
        <w:tc>
          <w:tcPr/>
          <w:p>
            <w:pPr>
              <w:pStyle w:val="Compact"/>
              <w:jc w:val="left"/>
            </w:pPr>
            <w:r>
              <w:t xml:space="preserve">适用省份/来源</w:t>
            </w:r>
          </w:p>
        </w:tc>
      </w:tr>
      <w:tr>
        <w:tc>
          <w:tcPr/>
          <w:p>
            <w:pPr>
              <w:pStyle w:val="Compact"/>
              <w:jc w:val="left"/>
            </w:pPr>
            <w:r>
              <w:t xml:space="preserve">处方图像采集</w:t>
            </w:r>
          </w:p>
        </w:tc>
        <w:tc>
          <w:tcPr/>
          <w:p>
            <w:pPr>
              <w:pStyle w:val="Compact"/>
              <w:jc w:val="left"/>
            </w:pPr>
            <w:r>
              <w:t xml:space="preserve">高拍仪光学分辨率≥1600×1200 dpi；处方静态图像清晰可辨</w:t>
            </w:r>
          </w:p>
        </w:tc>
        <w:tc>
          <w:tcPr/>
          <w:p>
            <w:pPr>
              <w:pStyle w:val="Compact"/>
              <w:jc w:val="left"/>
            </w:pPr>
            <w:r>
              <w:t xml:space="preserve">新疆、福建、北京</w:t>
            </w:r>
          </w:p>
        </w:tc>
      </w:tr>
      <w:tr>
        <w:tc>
          <w:tcPr/>
          <w:p>
            <w:pPr>
              <w:pStyle w:val="Compact"/>
              <w:jc w:val="left"/>
            </w:pPr>
            <w:r>
              <w:t xml:space="preserve">视频对讲</w:t>
            </w:r>
          </w:p>
        </w:tc>
        <w:tc>
          <w:tcPr/>
          <w:p>
            <w:pPr>
              <w:pStyle w:val="Compact"/>
              <w:jc w:val="left"/>
            </w:pPr>
            <w:r>
              <w:t xml:space="preserve">动态像素≥130万像素；帧速≥20帧/秒；USB2.0接口</w:t>
            </w:r>
          </w:p>
        </w:tc>
        <w:tc>
          <w:tcPr/>
          <w:p>
            <w:pPr>
              <w:pStyle w:val="Compact"/>
              <w:jc w:val="left"/>
            </w:pPr>
            <w:r>
              <w:t xml:space="preserve">新疆远程审方系统标准</w:t>
            </w:r>
          </w:p>
        </w:tc>
      </w:tr>
      <w:tr>
        <w:tc>
          <w:tcPr/>
          <w:p>
            <w:pPr>
              <w:pStyle w:val="Compact"/>
              <w:jc w:val="left"/>
            </w:pPr>
            <w:r>
              <w:t xml:space="preserve">语音对讲</w:t>
            </w:r>
          </w:p>
        </w:tc>
        <w:tc>
          <w:tcPr/>
          <w:p>
            <w:pPr>
              <w:pStyle w:val="Compact"/>
              <w:jc w:val="left"/>
            </w:pPr>
            <w:r>
              <w:t xml:space="preserve">灵敏度-36dB±2dB；频率范围30-18000Hz；立体声</w:t>
            </w:r>
          </w:p>
        </w:tc>
        <w:tc>
          <w:tcPr/>
          <w:p>
            <w:pPr>
              <w:pStyle w:val="Compact"/>
              <w:jc w:val="left"/>
            </w:pPr>
            <w:r>
              <w:t xml:space="preserve">新疆远程审方系统标准</w:t>
            </w:r>
          </w:p>
        </w:tc>
      </w:tr>
      <w:tr>
        <w:tc>
          <w:tcPr/>
          <w:p>
            <w:pPr>
              <w:pStyle w:val="Compact"/>
              <w:jc w:val="left"/>
            </w:pPr>
            <w:r>
              <w:t xml:space="preserve">门店服务电脑</w:t>
            </w:r>
          </w:p>
        </w:tc>
        <w:tc>
          <w:tcPr/>
          <w:p>
            <w:pPr>
              <w:pStyle w:val="Compact"/>
              <w:jc w:val="left"/>
            </w:pPr>
            <w:r>
              <w:t xml:space="preserve">配置与总部相配套的远程审方管理软件</w:t>
            </w:r>
          </w:p>
        </w:tc>
        <w:tc>
          <w:tcPr/>
          <w:p>
            <w:pPr>
              <w:pStyle w:val="Compact"/>
              <w:jc w:val="left"/>
            </w:pPr>
            <w:r>
              <w:t xml:space="preserve">福建、山东</w:t>
            </w:r>
          </w:p>
        </w:tc>
      </w:tr>
      <w:tr>
        <w:tc>
          <w:tcPr/>
          <w:p>
            <w:pPr>
              <w:pStyle w:val="Compact"/>
              <w:jc w:val="left"/>
            </w:pPr>
            <w:r>
              <w:t xml:space="preserve">数据服务器</w:t>
            </w:r>
          </w:p>
        </w:tc>
        <w:tc>
          <w:tcPr/>
          <w:p>
            <w:pPr>
              <w:pStyle w:val="Compact"/>
              <w:jc w:val="left"/>
            </w:pPr>
            <w:r>
              <w:t xml:space="preserve">企业级专用数据服务器，双机热备；固定外网IP</w:t>
            </w:r>
          </w:p>
        </w:tc>
        <w:tc>
          <w:tcPr/>
          <w:p>
            <w:pPr>
              <w:pStyle w:val="Compact"/>
              <w:jc w:val="left"/>
            </w:pPr>
            <w:r>
              <w:t xml:space="preserve">山东、陕西</w:t>
            </w:r>
          </w:p>
        </w:tc>
      </w:tr>
      <w:tr>
        <w:tc>
          <w:tcPr/>
          <w:p>
            <w:pPr>
              <w:pStyle w:val="Compact"/>
              <w:jc w:val="left"/>
            </w:pPr>
            <w:r>
              <w:t xml:space="preserve">不间断电源</w:t>
            </w:r>
          </w:p>
        </w:tc>
        <w:tc>
          <w:tcPr/>
          <w:p>
            <w:pPr>
              <w:pStyle w:val="Compact"/>
              <w:jc w:val="left"/>
            </w:pPr>
            <w:r>
              <w:t xml:space="preserve">备用发电机组或UPS，确保断电情况下平台正常运行</w:t>
            </w:r>
          </w:p>
        </w:tc>
        <w:tc>
          <w:tcPr/>
          <w:p>
            <w:pPr>
              <w:pStyle w:val="Compact"/>
              <w:jc w:val="left"/>
            </w:pPr>
            <w:r>
              <w:t xml:space="preserve">山东、陕西</w:t>
            </w:r>
          </w:p>
        </w:tc>
      </w:tr>
      <w:tr>
        <w:tc>
          <w:tcPr/>
          <w:p>
            <w:pPr>
              <w:pStyle w:val="Compact"/>
              <w:jc w:val="left"/>
            </w:pPr>
            <w:r>
              <w:t xml:space="preserve">生物识别</w:t>
            </w:r>
          </w:p>
        </w:tc>
        <w:tc>
          <w:tcPr/>
          <w:p>
            <w:pPr>
              <w:pStyle w:val="Compact"/>
              <w:jc w:val="left"/>
            </w:pPr>
            <w:r>
              <w:t xml:space="preserve">指纹确认、人脸识别，用于执业药师登录与审方签字确认</w:t>
            </w:r>
          </w:p>
        </w:tc>
        <w:tc>
          <w:tcPr/>
          <w:p>
            <w:pPr>
              <w:pStyle w:val="Compact"/>
              <w:jc w:val="left"/>
            </w:pPr>
            <w:r>
              <w:t xml:space="preserve">福建、江西、陕西</w:t>
            </w:r>
          </w:p>
        </w:tc>
      </w:tr>
    </w:tbl>
    <w:p>
      <w:pPr>
        <w:pStyle w:val="BodyText"/>
      </w:pPr>
      <w:r>
        <w:rPr>
          <w:i/>
          <w:iCs/>
        </w:rPr>
        <w:t xml:space="preserve">数据来源：各省远程审方技术规范及地方标准文件</w:t>
      </w:r>
      <w:r>
        <w:rPr>
          <w:i/>
          <w:iCs/>
        </w:rPr>
        <w:t xml:space="preserve"> </w:t>
      </w:r>
      <w:r>
        <w:rPr>
          <w:vertAlign w:val="superscript"/>
        </w:rPr>
        <w:footnoteReference w:id="116"/>
      </w:r>
      <w:r>
        <w:rPr>
          <w:i/>
          <w:iCs/>
        </w:rPr>
        <w:t xml:space="preserve"> </w:t>
      </w:r>
      <w:fldSimple w:instr="NOTEREF _Ref_Footnote_104 \h \f">
        <w:r>
          <w:rPr>
            <w:vertAlign w:val="superscript"/>
          </w:rPr>
          <w:t>104</w:t>
        </w:r>
      </w:fldSimple>
      <w:r>
        <w:rPr>
          <w:i/>
          <w:iCs/>
        </w:rPr>
        <w:t xml:space="preserve"> </w:t>
      </w:r>
      <w:fldSimple w:instr="NOTEREF _Ref_Footnote_105 \h \f">
        <w:r>
          <w:rPr>
            <w:vertAlign w:val="superscript"/>
          </w:rPr>
          <w:t>105</w:t>
        </w:r>
      </w:fldSimple>
      <w:r>
        <w:rPr>
          <w:i/>
          <w:iCs/>
        </w:rPr>
        <w:t xml:space="preserve"> </w:t>
      </w:r>
      <w:fldSimple w:instr="NOTEREF _Ref_Footnote_107 \h \f">
        <w:r>
          <w:rPr>
            <w:vertAlign w:val="superscript"/>
          </w:rPr>
          <w:t>107</w:t>
        </w:r>
      </w:fldSimple>
      <w:r>
        <w:rPr>
          <w:i/>
          <w:iCs/>
        </w:rPr>
        <w:t xml:space="preserve"> </w:t>
      </w:r>
      <w:r>
        <w:rPr>
          <w:vertAlign w:val="superscript"/>
        </w:rPr>
        <w:footnoteReference w:id="117"/>
      </w:r>
      <w:r>
        <w:rPr>
          <w:i/>
          <w:iCs/>
        </w:rPr>
        <w:t xml:space="preserve"> </w:t>
      </w:r>
      <w:fldSimple w:instr="NOTEREF _Ref_Footnote_112 \h \f">
        <w:r>
          <w:rPr>
            <w:vertAlign w:val="superscript"/>
          </w:rPr>
          <w:t>112</w:t>
        </w:r>
      </w:fldSimple>
      <w:r>
        <w:rPr>
          <w:i/>
          <w:iCs/>
        </w:rPr>
        <w:t xml:space="preserve">。</w:t>
      </w:r>
    </w:p>
    <w:p>
      <w:pPr>
        <w:pStyle w:val="BodyText"/>
      </w:pPr>
      <w:r>
        <w:t xml:space="preserve">在软件与数据管理层面，北京、福建、山东等地均要求远程审方操作系统具备与各门店实时连接、高清视频语音功能</w:t>
      </w:r>
      <w:r>
        <w:t xml:space="preserve"> </w:t>
      </w:r>
      <w:fldSimple w:instr="NOTEREF _Ref_Footnote_105 \h \f">
        <w:r>
          <w:rPr>
            <w:vertAlign w:val="superscript"/>
          </w:rPr>
          <w:t>105</w:t>
        </w:r>
      </w:fldSimple>
      <w:r>
        <w:t xml:space="preserve"> </w:t>
      </w:r>
      <w:fldSimple w:instr="NOTEREF _Ref_Footnote_104 \h \f">
        <w:r>
          <w:rPr>
            <w:vertAlign w:val="superscript"/>
          </w:rPr>
          <w:t>104</w:t>
        </w:r>
      </w:fldSimple>
      <w:r>
        <w:t xml:space="preserve">。远程审方管理系统应当具有处方接收、分配、审核、统计及记录保存的功能，禁止修改、删除或外接设备导入数据信息</w:t>
      </w:r>
      <w:r>
        <w:t xml:space="preserve"> </w:t>
      </w:r>
      <w:fldSimple w:instr="NOTEREF _Ref_Footnote_105 \h \f">
        <w:r>
          <w:rPr>
            <w:vertAlign w:val="superscript"/>
          </w:rPr>
          <w:t>105</w:t>
        </w:r>
      </w:fldSimple>
      <w:r>
        <w:t xml:space="preserve"> </w:t>
      </w:r>
      <w:fldSimple w:instr="NOTEREF _Ref_Footnote_111 \h \f">
        <w:r>
          <w:rPr>
            <w:vertAlign w:val="superscript"/>
          </w:rPr>
          <w:t>111</w:t>
        </w:r>
      </w:fldSimple>
      <w:r>
        <w:t xml:space="preserve">。对未审核通过的处方，业务系统应自动锁定，拒绝调配和收银</w:t>
      </w:r>
      <w:r>
        <w:t xml:space="preserve"> </w:t>
      </w:r>
      <w:fldSimple w:instr="NOTEREF _Ref_Footnote_117 \h \f">
        <w:r>
          <w:rPr>
            <w:vertAlign w:val="superscript"/>
          </w:rPr>
          <w:t>117</w:t>
        </w:r>
      </w:fldSimple>
      <w:r>
        <w:t xml:space="preserve">。处方影像资料保存不少于1年；含麻黄碱类复方制剂等特殊管理药品的处方保存时间不少于2年</w:t>
      </w:r>
      <w:r>
        <w:t xml:space="preserve"> </w:t>
      </w:r>
      <w:fldSimple w:instr="NOTEREF _Ref_Footnote_117 \h \f">
        <w:r>
          <w:rPr>
            <w:vertAlign w:val="superscript"/>
          </w:rPr>
          <w:t>117</w:t>
        </w:r>
      </w:fldSimple>
      <w:r>
        <w:t xml:space="preserve"> </w:t>
      </w:r>
      <w:fldSimple w:instr="NOTEREF _Ref_Footnote_107 \h \f">
        <w:r>
          <w:rPr>
            <w:vertAlign w:val="superscript"/>
          </w:rPr>
          <w:t>107</w:t>
        </w:r>
      </w:fldSimple>
      <w:r>
        <w:t xml:space="preserve">。</w:t>
      </w:r>
    </w:p>
    <w:p>
      <w:pPr>
        <w:pStyle w:val="BodyText"/>
      </w:pPr>
      <w:r>
        <w:t xml:space="preserve">在监管接入模式上，陕西省要求企业在远程服务中心安装高清视频设备，通过互联网与药品监管部门连接，实现省药监局对执业药师远程服务情况的实时监控</w:t>
      </w:r>
      <w:r>
        <w:t xml:space="preserve"> </w:t>
      </w:r>
      <w:fldSimple w:instr="NOTEREF _Ref_Footnote_107 \h \f">
        <w:r>
          <w:rPr>
            <w:vertAlign w:val="superscript"/>
          </w:rPr>
          <w:t>107</w:t>
        </w:r>
      </w:fldSimple>
      <w:r>
        <w:t xml:space="preserve">。重庆要求企业向监管部门开放数据接口，接受实时全程监管</w:t>
      </w:r>
      <w:r>
        <w:t xml:space="preserve"> </w:t>
      </w:r>
      <w:fldSimple w:instr="NOTEREF _Ref_Footnote_109 \h \f">
        <w:r>
          <w:rPr>
            <w:vertAlign w:val="superscript"/>
          </w:rPr>
          <w:t>109</w:t>
        </w:r>
      </w:fldSimple>
      <w:r>
        <w:t xml:space="preserve">。江西省（征求意见稿）要求现场检查至少抽查5家门店，重点检查是否由AI代替执业药师本人审方、是否存在挂证行为</w:t>
      </w:r>
      <w:r>
        <w:t xml:space="preserve"> </w:t>
      </w:r>
      <w:fldSimple w:instr="NOTEREF _Ref_Footnote_112 \h \f">
        <w:r>
          <w:rPr>
            <w:vertAlign w:val="superscript"/>
          </w:rPr>
          <w:t>112</w:t>
        </w:r>
      </w:fldSimple>
      <w:r>
        <w:t xml:space="preserve">。未来技术监管的重点将从“有没有设备”转向“设备是否真实运行、执业药师是否本人操作”。</w:t>
      </w:r>
    </w:p>
    <w:bookmarkEnd w:id="91"/>
    <w:bookmarkEnd w:id="92"/>
    <w:bookmarkStart w:id="99" w:name="执业药师缺口与配置转型"/>
    <w:p>
      <w:pPr>
        <w:pStyle w:val="Heading3"/>
      </w:pPr>
      <w:r>
        <w:t xml:space="preserve">6.3 执业药师缺口与配置转型</w:t>
      </w:r>
    </w:p>
    <w:bookmarkStart w:id="96" w:name="全国缺口约60万地域分布极不均衡"/>
    <w:p>
      <w:pPr>
        <w:pStyle w:val="Heading4"/>
      </w:pPr>
      <w:r>
        <w:t xml:space="preserve">6.3.1 全国缺口约60万+，地域分布极不均衡</w:t>
      </w:r>
    </w:p>
    <w:p>
      <w:pPr>
        <w:pStyle w:val="FirstParagraph"/>
      </w:pPr>
      <w:r>
        <w:t xml:space="preserve">根据国家药监局执业药师资格认证中心数据，截至2025年7月底，全国注册执业药师833,291人，平均每万人口拥有5.9人</w:t>
      </w:r>
      <w:r>
        <w:t xml:space="preserve"> </w:t>
      </w:r>
      <w:r>
        <w:rPr>
          <w:vertAlign w:val="superscript"/>
        </w:rPr>
        <w:footnoteReference w:id="118"/>
      </w:r>
      <w:r>
        <w:t xml:space="preserve">。其中约91%注册于药品零售企业，即约75.7万人。然而，全国零售药店数量截至2024年6月已突破70万家</w:t>
      </w:r>
      <w:r>
        <w:t xml:space="preserve"> </w:t>
      </w:r>
      <w:r>
        <w:rPr>
          <w:vertAlign w:val="superscript"/>
        </w:rPr>
        <w:footnoteReference w:id="119"/>
      </w:r>
      <w:r>
        <w:t xml:space="preserve">。若按“每家药店至少配备2名执业药师”的严格标准测算，70万家药店需140万名执业药师，当前缺口约55—60万人</w:t>
      </w:r>
      <w:r>
        <w:t xml:space="preserve"> </w:t>
      </w:r>
      <w:r>
        <w:rPr>
          <w:vertAlign w:val="superscript"/>
        </w:rPr>
        <w:footnoteReference w:id="120"/>
      </w:r>
      <w:r>
        <w:t xml:space="preserve">。</w:t>
      </w:r>
    </w:p>
    <w:p>
      <w:pPr>
        <w:pStyle w:val="BodyText"/>
      </w:pPr>
      <w:r>
        <w:t xml:space="preserve">地域分布的失衡加剧了结构性矛盾。据各省药监局统计公报及中国药师协会数据，上海每万人口执业药师数约8.1人，而贵州仅约1.9人，二者相差超过4倍</w:t>
      </w:r>
      <w:r>
        <w:t xml:space="preserve"> </w:t>
      </w:r>
      <w:r>
        <w:rPr>
          <w:vertAlign w:val="superscript"/>
        </w:rPr>
        <w:footnoteReference w:id="121"/>
      </w:r>
      <w:r>
        <w:t xml:space="preserve">。东部地区注册执业药师占全国总量的52%以上，而西部地区占比不足21%</w:t>
      </w:r>
      <w:r>
        <w:t xml:space="preserve"> </w:t>
      </w:r>
      <w:r>
        <w:rPr>
          <w:vertAlign w:val="superscript"/>
        </w:rPr>
        <w:footnoteReference w:id="122"/>
      </w:r>
      <w:r>
        <w:t xml:space="preserve">。仅下沉市场（乡镇、农村）执业药师缺口即超过20万人</w:t>
      </w:r>
      <w:r>
        <w:t xml:space="preserve"> </w:t>
      </w:r>
      <w:fldSimple w:instr="NOTEREF _Ref_Footnote_119 \h \f">
        <w:r>
          <w:rPr>
            <w:vertAlign w:val="superscript"/>
          </w:rPr>
          <w:t>119</w:t>
        </w:r>
      </w:fldSimple>
      <w:r>
        <w:t xml:space="preserve">。这一分布特征与远程审方政策的区域分化形成微妙关联：允许远程审方替代驻店药师的省份多集中于西南和东北地区，恰恰是执业药师绝对短缺最为严重的区域；而坚持“不可替代”的华北、华东省份，其执业药师资源相对充裕，有条件维持更高的门店配备标准。</w:t>
      </w:r>
    </w:p>
    <w:p>
      <w:pPr>
        <w:pStyle w:val="CaptionedFigure"/>
      </w:pPr>
      <w:r>
        <w:drawing>
          <wp:inline>
            <wp:extent cx="5334000" cy="3177759"/>
            <wp:effectExtent b="0" l="0" r="0" t="0"/>
            <wp:docPr descr="全国各省执业药师区域分布差距（2024年）" title="" id="94" name="Picture"/>
            <a:graphic>
              <a:graphicData uri="http://schemas.openxmlformats.org/drawingml/2006/picture">
                <pic:pic>
                  <pic:nvPicPr>
                    <pic:cNvPr descr="pharmacist_regional_gap.png" id="95" name="Picture"/>
                    <pic:cNvPicPr>
                      <a:picLocks noChangeArrowheads="1" noChangeAspect="1"/>
                    </pic:cNvPicPr>
                  </pic:nvPicPr>
                  <pic:blipFill>
                    <a:blip r:embed="rId93"/>
                    <a:stretch>
                      <a:fillRect/>
                    </a:stretch>
                  </pic:blipFill>
                  <pic:spPr bwMode="auto">
                    <a:xfrm>
                      <a:off x="0" y="0"/>
                      <a:ext cx="5334000" cy="3177759"/>
                    </a:xfrm>
                    <a:prstGeom prst="rect">
                      <a:avLst/>
                    </a:prstGeom>
                    <a:noFill/>
                    <a:ln w="9525">
                      <a:noFill/>
                      <a:headEnd/>
                      <a:tailEnd/>
                    </a:ln>
                  </pic:spPr>
                </pic:pic>
              </a:graphicData>
            </a:graphic>
          </wp:inline>
        </w:drawing>
      </w:r>
    </w:p>
    <w:p>
      <w:pPr>
        <w:pStyle w:val="ImageCaption"/>
      </w:pPr>
      <w:r>
        <w:t xml:space="preserve">全国各省执业药师区域分布差距（2024年）</w:t>
      </w:r>
    </w:p>
    <w:p>
      <w:pPr>
        <w:pStyle w:val="BodyText"/>
      </w:pPr>
      <w:r>
        <w:t xml:space="preserve">上图选取14个代表性省份及全国平均水平，以每万人口执业药师数为指标呈现区域分布差距。上海以8.1人/万人口位居全国前列，显著高于国际药学联合会建议的6.2人/万人口标准；而贵州、云南等省份低于全国平均的3.83—5.8人区间，与发达省份形成鲜明对比。这种分布不均意味着，即便远程审方技术可以跨地域调配药师资源，政策上仍受到“不得替代驻店药师”的刚性约束，偏远地区药店的合规压力难以通过技术手段完全缓解。</w:t>
      </w:r>
    </w:p>
    <w:bookmarkEnd w:id="96"/>
    <w:bookmarkStart w:id="97" w:name="政策组合拳推动执业药师配置从数量刚性向结构弹性转型"/>
    <w:p>
      <w:pPr>
        <w:pStyle w:val="Heading4"/>
      </w:pPr>
      <w:r>
        <w:t xml:space="preserve">6.3.2 政策组合拳推动执业药师配置从“数量刚性”向“结构弹性”转型</w:t>
      </w:r>
    </w:p>
    <w:p>
      <w:pPr>
        <w:pStyle w:val="FirstParagraph"/>
      </w:pPr>
      <w:r>
        <w:t xml:space="preserve">远程审方（总部共享）、药食同源免药师（特定品种）、AI辅助（非替代）、差异化配备（城乡差异）等一系列政策的组合，实质上是在不改变执业药师总量的情况下，通过结构优化来缓解60万+缺口压力。这一转型的核心逻辑在于：不改变“总量不足”的事实，但改变“配置结构”——通过远程审方使1名药师服务多家门店，通过药食同源豁免使部分药店暂免药师要求，通过AI辅助提高审方效率。这是一种务实的过渡策略，预示着未来执业药师管理可能从“一店一药师”的刚性模式，转向“集团共享+技术辅助+场景豁免”的弹性模式</w:t>
      </w:r>
      <w:r>
        <w:t xml:space="preserve"> </w:t>
      </w:r>
      <w:r>
        <w:rPr>
          <w:vertAlign w:val="superscript"/>
        </w:rPr>
        <w:footnoteReference w:id="123"/>
      </w:r>
      <w:r>
        <w:t xml:space="preserve">。</w:t>
      </w:r>
    </w:p>
    <w:p>
      <w:pPr>
        <w:pStyle w:val="BodyText"/>
      </w:pPr>
      <w:r>
        <w:t xml:space="preserve">然而，弹性化的制度设计也带来了新的监管风险。2025年底全国执业药师差异化配备过渡期结束后，多地已要求所有药店必须配备执业药师，远程审方的“替代”功能被大幅压缩</w:t>
      </w:r>
      <w:r>
        <w:t xml:space="preserve"> </w:t>
      </w:r>
      <w:r>
        <w:rPr>
          <w:vertAlign w:val="superscript"/>
        </w:rPr>
        <w:footnoteReference w:id="124"/>
      </w:r>
      <w:r>
        <w:t xml:space="preserve">。2026年1月，海南省药监局再次发布提示函，明确药品零售连锁总部实施远程审方仅可在所属零售门店按规定配备的执业药师临时不在岗时使用，强调“执业药师应配尽配”</w:t>
      </w:r>
      <w:r>
        <w:t xml:space="preserve"> </w:t>
      </w:r>
      <w:r>
        <w:rPr>
          <w:vertAlign w:val="superscript"/>
        </w:rPr>
        <w:footnoteReference w:id="125"/>
      </w:r>
      <w:r>
        <w:t xml:space="preserve">。这一趋势表明，远程审方的弹性空间正在被国家层面的合规收紧所压缩，执业药师配置正在从“过渡性权宜之计”向“长期制度底线”回归。</w:t>
      </w:r>
    </w:p>
    <w:bookmarkEnd w:id="97"/>
    <w:bookmarkStart w:id="98" w:name="远程审方不得取代驻店药师与执行现实的张力"/>
    <w:p>
      <w:pPr>
        <w:pStyle w:val="Heading4"/>
      </w:pPr>
      <w:r>
        <w:t xml:space="preserve">6.3.3 远程审方“不得取代驻店药师”与执行现实的张力</w:t>
      </w:r>
    </w:p>
    <w:p>
      <w:pPr>
        <w:pStyle w:val="FirstParagraph"/>
      </w:pPr>
      <w:r>
        <w:t xml:space="preserve">政策文本与执行现实之间存在显著张力。严格执行“一店一药师”可能导致偏远地区药店因无法招聘到执业药师而被迫关闭，这与“提高药品可及性”的政策目标相悖。黑龙江大庆市红岗区检察院调查发现，多家药店执业药师不在岗时以手机远程审方辩解，但手机远程审批处方单无法看到并确认患者本人，不能作为药师在药店执业的替代，最终被认定为违规</w:t>
      </w:r>
      <w:r>
        <w:t xml:space="preserve"> </w:t>
      </w:r>
      <w:r>
        <w:rPr>
          <w:vertAlign w:val="superscript"/>
        </w:rPr>
        <w:footnoteReference w:id="126"/>
      </w:r>
      <w:r>
        <w:t xml:space="preserve">。这一案例折射出远程审方在基层执行中的变形：当执业药师资源绝对匮乏时，远程审方容易从“补充工具”异化为“规避手段”。</w:t>
      </w:r>
    </w:p>
    <w:p>
      <w:pPr>
        <w:pStyle w:val="BodyText"/>
      </w:pPr>
      <w:r>
        <w:t xml:space="preserve">从政策效果看，远程审方对执业药师资源配置的影响呈现两极分化。在允许替代的省份，1名远程执业药师理论上可覆盖5—20家门店，大幅降低了连锁企业对门店执业药师的总需求；但在明确不可替代的省份，远程审方并未减少门店执业药师的总需求，反而在总部新增了远程审方中心的执业药师岗位，实际上增加了对执业药师的总需求，但优化了高资质药师的使用效率——让执业药师专注于审方核心工作，门店药学技术人员负责调配复核</w:t>
      </w:r>
      <w:r>
        <w:t xml:space="preserve"> </w:t>
      </w:r>
      <w:r>
        <w:rPr>
          <w:vertAlign w:val="superscript"/>
        </w:rPr>
        <w:footnoteReference w:id="127"/>
      </w:r>
      <w:r>
        <w:t xml:space="preserve">。这种模式下，执业药师从“分散在门店”向“门店+总部双轨配置”转变，催生了“专职远程审方执业药师”新岗位，推动了执业药师从“门店全能型”向“总部专业型”分化</w:t>
      </w:r>
      <w:r>
        <w:t xml:space="preserve"> </w:t>
      </w:r>
      <w:fldSimple w:instr="NOTEREF _Ref_Footnote_107 \h \f">
        <w:r>
          <w:rPr>
            <w:vertAlign w:val="superscript"/>
          </w:rPr>
          <w:t>107</w:t>
        </w:r>
      </w:fldSimple>
      <w:r>
        <w:t xml:space="preserve">。</w:t>
      </w:r>
    </w:p>
    <w:p>
      <w:pPr>
        <w:pStyle w:val="BodyText"/>
      </w:pPr>
      <w:r>
        <w:t xml:space="preserve">中长期来看，若严格执行“不得取代驻店药师”且维持现有执业药师培养速度（年新增注册约6—8万人，考试通过率维持在20%左右），全国缺口预计在未来5—10年内难以根本扭转</w:t>
      </w:r>
      <w:r>
        <w:t xml:space="preserve"> </w:t>
      </w:r>
      <w:fldSimple w:instr="NOTEREF _Ref_Footnote_120 \h \f">
        <w:r>
          <w:rPr>
            <w:vertAlign w:val="superscript"/>
          </w:rPr>
          <w:t>120</w:t>
        </w:r>
      </w:fldSimple>
      <w:r>
        <w:t xml:space="preserve">。政策制定者面临两难：一方面，</w:t>
      </w:r>
      <w:r>
        <w:t xml:space="preserve">“</w:t>
      </w:r>
      <w:r>
        <w:t xml:space="preserve">四个最严</w:t>
      </w:r>
      <w:r>
        <w:t xml:space="preserve">”</w:t>
      </w:r>
      <w:r>
        <w:t xml:space="preserve">的监管原则要求保证用药安全；另一方面，60万+的缺口不可能在短期内通过培养填补。这一张力可能促使国家在未来出台“执业药师集团注册+多点执业”的制度，以制度化的方式承认当前的弹性实践，但短期内，门店执业药师配备仍将是药店合规的硬约束与核心成本项。</w:t>
      </w:r>
    </w:p>
    <w:p>
      <w:r>
        <w:pict>
          <v:rect style="width:0;height:1.5pt" o:hralign="center" o:hrstd="t" o:hr="t"/>
        </w:pict>
      </w:r>
    </w:p>
    <w:bookmarkEnd w:id="98"/>
    <w:bookmarkEnd w:id="99"/>
    <w:bookmarkEnd w:id="100"/>
    <w:bookmarkStart w:id="112" w:name="药品网络销售监管全国对比"/>
    <w:p>
      <w:pPr>
        <w:pStyle w:val="Heading2"/>
      </w:pPr>
      <w:r>
        <w:t xml:space="preserve">7. 药品网络销售监管全国对比</w:t>
      </w:r>
    </w:p>
    <w:bookmarkStart w:id="104" w:name="各省网络销售监管细则"/>
    <w:p>
      <w:pPr>
        <w:pStyle w:val="Heading3"/>
      </w:pPr>
      <w:r>
        <w:t xml:space="preserve">7.1 各省网络销售监管细则</w:t>
      </w:r>
    </w:p>
    <w:bookmarkStart w:id="101" w:name="湖北48条细则树立地方最严标杆"/>
    <w:p>
      <w:pPr>
        <w:pStyle w:val="Heading4"/>
      </w:pPr>
      <w:r>
        <w:t xml:space="preserve">7.1.1 湖北：48条细则树立地方最严标杆</w:t>
      </w:r>
    </w:p>
    <w:p>
      <w:pPr>
        <w:pStyle w:val="FirstParagraph"/>
      </w:pPr>
      <w:r>
        <w:t xml:space="preserve">2025年8月，湖北省药品监督管理局印发《湖北省药品网络销售监督管理实施细则》，自2025年10月1日起施行，共设5章48条</w:t>
      </w:r>
      <w:r>
        <w:rPr>
          <w:vertAlign w:val="superscript"/>
        </w:rPr>
        <w:footnoteReference w:id="128"/>
      </w:r>
      <w:r>
        <w:t xml:space="preserve">。其核心突破在于明确写入”无实体门店不得网售药品”的刚性条款：只有具备保证网络销售药品安全能力的药品零售企业方可从事网络零售活动，无实体零售药店一律不得通过网络销售药品</w:t>
      </w:r>
      <w:fldSimple w:instr="NOTEREF _Ref_Footnote_128 \h \f">
        <w:r>
          <w:rPr>
            <w:vertAlign w:val="superscript"/>
          </w:rPr>
          <w:t>128</w:t>
        </w:r>
      </w:fldSimple>
      <w:r>
        <w:t xml:space="preserve">。该细则同时规定，连锁总部不得直接向个人销售药品，必须以连锁零售门店为销售主体并承担主体责任</w:t>
      </w:r>
      <w:r>
        <w:rPr>
          <w:vertAlign w:val="superscript"/>
        </w:rPr>
        <w:footnoteReference w:id="129"/>
      </w:r>
      <w:r>
        <w:t xml:space="preserve">。此外，湖北还禁止以盲盒形式网络售药，要求近效期药品在展示页面标注有效期截止时间，并规定非B2C第三方平台的质量安全管理机构负责人必须是执业药师且在职在岗</w:t>
      </w:r>
      <w:r>
        <w:rPr>
          <w:vertAlign w:val="superscript"/>
        </w:rPr>
        <w:footnoteReference w:id="130"/>
      </w:r>
      <w:r>
        <w:t xml:space="preserve">。</w:t>
      </w:r>
    </w:p>
    <w:bookmarkEnd w:id="101"/>
    <w:bookmarkStart w:id="102" w:name="从地方探索到全国共识八省网络销售监管对比"/>
    <w:p>
      <w:pPr>
        <w:pStyle w:val="Heading4"/>
      </w:pPr>
      <w:r>
        <w:t xml:space="preserve">7.1.2 从地方探索到全国共识：八省网络销售监管对比</w:t>
      </w:r>
    </w:p>
    <w:p>
      <w:pPr>
        <w:pStyle w:val="FirstParagraph"/>
      </w:pPr>
      <w:r>
        <w:t xml:space="preserve">湖北并非最早出台网售细则的省份。山东省药品监督管理局于2023年10月印发《山东省药品网络销售监督管理实施办法》（鲁药监规〔2023〕4号），自2023年12月1日起施行，明确”无实体门店不得通过网络销售药品”，并强调”线上线下一致”原则</w:t>
      </w:r>
      <w:r>
        <w:rPr>
          <w:vertAlign w:val="superscript"/>
        </w:rPr>
        <w:footnoteReference w:id="131"/>
      </w:r>
      <w:r>
        <w:t xml:space="preserve">。山西省在《药品零售经营监督管理办法（试行）》（晋药监规〔2026〕7号）中规定，网络销售药品必须依托实体门店，发货地址须与许可证载明地址一致，连锁总部不得以总部名义通过总部仓库直接向个人销售药品</w:t>
      </w:r>
      <w:r>
        <w:rPr>
          <w:vertAlign w:val="superscript"/>
        </w:rPr>
        <w:footnoteReference w:id="132"/>
      </w:r>
      <w:r>
        <w:t xml:space="preserve">。辽宁省药品监督管理局于2024年12月印发《辽宁省药品网络销售监督管理办法实施细则》，同样要求”无实体零售药店不得通过网络销售药品”，并明确连锁总部禁直售</w:t>
      </w:r>
      <w:r>
        <w:rPr>
          <w:vertAlign w:val="superscript"/>
        </w:rPr>
        <w:footnoteReference w:id="133"/>
      </w:r>
      <w:r>
        <w:t xml:space="preserve">。</w:t>
      </w:r>
    </w:p>
    <w:p>
      <w:pPr>
        <w:pStyle w:val="BodyText"/>
      </w:pPr>
      <w:r>
        <w:t xml:space="preserve">下表对八个已出台省级药品网络销售监管文件（或含相关条款的综合性文件）的省份进行核心维度对比。</w:t>
      </w:r>
    </w:p>
    <w:tbl>
      <w:tblPr>
        <w:tblStyle w:val="Table"/>
        <w:tblW w:type="pct" w:w="5000"/>
        <w:jc w:val="start"/>
        <w:tblLayout w:type="fixed"/>
        <w:tblLook w:firstRow="1" w:lastRow="0" w:firstColumn="0" w:lastColumn="0" w:noHBand="0" w:noVBand="0" w:val="0020"/>
      </w:tblPr>
      <w:tblGrid>
        <w:gridCol w:w="516"/>
        <w:gridCol w:w="860"/>
        <w:gridCol w:w="860"/>
        <w:gridCol w:w="1377"/>
        <w:gridCol w:w="1377"/>
        <w:gridCol w:w="1205"/>
        <w:gridCol w:w="860"/>
        <w:gridCol w:w="860"/>
      </w:tblGrid>
      <w:tr>
        <w:trPr>
          <w:tblHeader w:val="true"/>
        </w:trPr>
        <w:tc>
          <w:tcPr/>
          <w:p>
            <w:pPr>
              <w:pStyle w:val="Compact"/>
              <w:jc w:val="left"/>
            </w:pPr>
            <w:r>
              <w:t xml:space="preserve">省份</w:t>
            </w:r>
          </w:p>
        </w:tc>
        <w:tc>
          <w:tcPr/>
          <w:p>
            <w:pPr>
              <w:pStyle w:val="Compact"/>
              <w:jc w:val="left"/>
            </w:pPr>
            <w:r>
              <w:t xml:space="preserve">核心文件</w:t>
            </w:r>
          </w:p>
        </w:tc>
        <w:tc>
          <w:tcPr/>
          <w:p>
            <w:pPr>
              <w:pStyle w:val="Compact"/>
              <w:jc w:val="left"/>
            </w:pPr>
            <w:r>
              <w:t xml:space="preserve">生效时间</w:t>
            </w:r>
          </w:p>
        </w:tc>
        <w:tc>
          <w:tcPr/>
          <w:p>
            <w:pPr>
              <w:pStyle w:val="Compact"/>
              <w:jc w:val="center"/>
            </w:pPr>
            <w:r>
              <w:t xml:space="preserve">无实体不得网售</w:t>
            </w:r>
          </w:p>
        </w:tc>
        <w:tc>
          <w:tcPr/>
          <w:p>
            <w:pPr>
              <w:pStyle w:val="Compact"/>
              <w:jc w:val="center"/>
            </w:pPr>
            <w:r>
              <w:t xml:space="preserve">连锁总部禁直售</w:t>
            </w:r>
          </w:p>
        </w:tc>
        <w:tc>
          <w:tcPr/>
          <w:p>
            <w:pPr>
              <w:pStyle w:val="Compact"/>
              <w:jc w:val="center"/>
            </w:pPr>
            <w:r>
              <w:t xml:space="preserve">发货地址一致</w:t>
            </w:r>
          </w:p>
        </w:tc>
        <w:tc>
          <w:tcPr/>
          <w:p>
            <w:pPr>
              <w:pStyle w:val="Compact"/>
              <w:jc w:val="center"/>
            </w:pPr>
            <w:r>
              <w:t xml:space="preserve">盲盒禁售</w:t>
            </w:r>
          </w:p>
        </w:tc>
        <w:tc>
          <w:tcPr/>
          <w:p>
            <w:pPr>
              <w:pStyle w:val="Compact"/>
              <w:jc w:val="left"/>
            </w:pPr>
            <w:r>
              <w:t xml:space="preserve">报告层级</w:t>
            </w:r>
          </w:p>
        </w:tc>
      </w:tr>
      <w:tr>
        <w:tc>
          <w:tcPr/>
          <w:p>
            <w:pPr>
              <w:pStyle w:val="Compact"/>
              <w:jc w:val="left"/>
            </w:pPr>
            <w:r>
              <w:t xml:space="preserve">湖北</w:t>
            </w:r>
          </w:p>
        </w:tc>
        <w:tc>
          <w:tcPr/>
          <w:p>
            <w:pPr>
              <w:pStyle w:val="Compact"/>
              <w:jc w:val="left"/>
            </w:pPr>
            <w:r>
              <w:t xml:space="preserve">《湖北省药品网络销售监督管理实施细则》</w:t>
            </w:r>
          </w:p>
        </w:tc>
        <w:tc>
          <w:tcPr/>
          <w:p>
            <w:pPr>
              <w:pStyle w:val="Compact"/>
              <w:jc w:val="left"/>
            </w:pPr>
            <w:r>
              <w:t xml:space="preserve">2025年10月1日</w:t>
            </w:r>
          </w:p>
        </w:tc>
        <w:tc>
          <w:tcPr/>
          <w:p>
            <w:pPr>
              <w:pStyle w:val="Compact"/>
              <w:jc w:val="center"/>
            </w:pPr>
            <w:r>
              <w:t xml:space="preserve">✅ 明确</w:t>
            </w:r>
            <w:r>
              <w:t xml:space="preserve"> </w:t>
            </w:r>
            <w:fldSimple w:instr="NOTEREF _Ref_Footnote_128 \h \f">
              <w:r>
                <w:rPr>
                  <w:vertAlign w:val="superscript"/>
                </w:rPr>
                <w:t>128</w:t>
              </w:r>
            </w:fldSimple>
          </w:p>
        </w:tc>
        <w:tc>
          <w:tcPr/>
          <w:p>
            <w:pPr>
              <w:pStyle w:val="Compact"/>
              <w:jc w:val="center"/>
            </w:pPr>
            <w:r>
              <w:t xml:space="preserve">✅ 明确</w:t>
            </w:r>
            <w:r>
              <w:t xml:space="preserve"> </w:t>
            </w:r>
            <w:fldSimple w:instr="NOTEREF _Ref_Footnote_129 \h \f">
              <w:r>
                <w:rPr>
                  <w:vertAlign w:val="superscript"/>
                </w:rPr>
                <w:t>129</w:t>
              </w:r>
            </w:fldSimple>
          </w:p>
        </w:tc>
        <w:tc>
          <w:tcPr/>
          <w:p>
            <w:pPr>
              <w:pStyle w:val="Compact"/>
              <w:jc w:val="center"/>
            </w:pPr>
            <w:r>
              <w:t xml:space="preserve">未明确</w:t>
            </w:r>
          </w:p>
        </w:tc>
        <w:tc>
          <w:tcPr/>
          <w:p>
            <w:pPr>
              <w:pStyle w:val="Compact"/>
              <w:jc w:val="center"/>
            </w:pPr>
            <w:r>
              <w:t xml:space="preserve">✅ 明确</w:t>
            </w:r>
            <w:r>
              <w:t xml:space="preserve"> </w:t>
            </w:r>
            <w:fldSimple w:instr="NOTEREF _Ref_Footnote_130 \h \f">
              <w:r>
                <w:rPr>
                  <w:vertAlign w:val="superscript"/>
                </w:rPr>
                <w:t>130</w:t>
              </w:r>
            </w:fldSimple>
          </w:p>
        </w:tc>
        <w:tc>
          <w:tcPr/>
          <w:p>
            <w:pPr>
              <w:pStyle w:val="Compact"/>
              <w:jc w:val="left"/>
            </w:pPr>
            <w:r>
              <w:t xml:space="preserve">县级/省级分局</w:t>
            </w:r>
          </w:p>
        </w:tc>
      </w:tr>
      <w:tr>
        <w:tc>
          <w:tcPr/>
          <w:p>
            <w:pPr>
              <w:pStyle w:val="Compact"/>
              <w:jc w:val="left"/>
            </w:pPr>
            <w:r>
              <w:t xml:space="preserve">山东</w:t>
            </w:r>
          </w:p>
        </w:tc>
        <w:tc>
          <w:tcPr/>
          <w:p>
            <w:pPr>
              <w:pStyle w:val="Compact"/>
              <w:jc w:val="left"/>
            </w:pPr>
            <w:r>
              <w:t xml:space="preserve">《山东省药品网络销售监督管理实施办法》（鲁药监规〔2023〕4号）</w:t>
            </w:r>
          </w:p>
        </w:tc>
        <w:tc>
          <w:tcPr/>
          <w:p>
            <w:pPr>
              <w:pStyle w:val="Compact"/>
              <w:jc w:val="left"/>
            </w:pPr>
            <w:r>
              <w:t xml:space="preserve">2023年12月1日</w:t>
            </w:r>
          </w:p>
        </w:tc>
        <w:tc>
          <w:tcPr/>
          <w:p>
            <w:pPr>
              <w:pStyle w:val="Compact"/>
              <w:jc w:val="center"/>
            </w:pPr>
            <w:r>
              <w:t xml:space="preserve">✅ 明确</w:t>
            </w:r>
            <w:r>
              <w:t xml:space="preserve"> </w:t>
            </w:r>
            <w:fldSimple w:instr="NOTEREF _Ref_Footnote_131 \h \f">
              <w:r>
                <w:rPr>
                  <w:vertAlign w:val="superscript"/>
                </w:rPr>
                <w:t>131</w:t>
              </w:r>
            </w:fldSimple>
          </w:p>
        </w:tc>
        <w:tc>
          <w:tcPr/>
          <w:p>
            <w:pPr>
              <w:pStyle w:val="Compact"/>
              <w:jc w:val="center"/>
            </w:pPr>
            <w:r>
              <w:t xml:space="preserve">✅ 明确</w:t>
            </w:r>
            <w:r>
              <w:t xml:space="preserve"> </w:t>
            </w:r>
            <w:fldSimple w:instr="NOTEREF _Ref_Footnote_58 \h \f">
              <w:r>
                <w:rPr>
                  <w:vertAlign w:val="superscript"/>
                </w:rPr>
                <w:t>58</w:t>
              </w:r>
            </w:fldSimple>
          </w:p>
        </w:tc>
        <w:tc>
          <w:tcPr/>
          <w:p>
            <w:pPr>
              <w:pStyle w:val="Compact"/>
              <w:jc w:val="center"/>
            </w:pPr>
            <w:r>
              <w:t xml:space="preserve">未明确</w:t>
            </w:r>
          </w:p>
        </w:tc>
        <w:tc>
          <w:tcPr/>
          <w:p>
            <w:pPr>
              <w:pStyle w:val="Compact"/>
              <w:jc w:val="center"/>
            </w:pPr>
            <w:r>
              <w:t xml:space="preserve">✅ 明确</w:t>
            </w:r>
            <w:r>
              <w:t xml:space="preserve"> </w:t>
            </w:r>
            <w:fldSimple w:instr="NOTEREF _Ref_Footnote_59 \h \f">
              <w:r>
                <w:rPr>
                  <w:vertAlign w:val="superscript"/>
                </w:rPr>
                <w:t>59</w:t>
              </w:r>
            </w:fldSimple>
          </w:p>
        </w:tc>
        <w:tc>
          <w:tcPr/>
          <w:p>
            <w:pPr>
              <w:pStyle w:val="Compact"/>
              <w:jc w:val="left"/>
            </w:pPr>
            <w:r>
              <w:t xml:space="preserve">县级</w:t>
            </w:r>
          </w:p>
        </w:tc>
      </w:tr>
      <w:tr>
        <w:tc>
          <w:tcPr/>
          <w:p>
            <w:pPr>
              <w:pStyle w:val="Compact"/>
              <w:jc w:val="left"/>
            </w:pPr>
            <w:r>
              <w:t xml:space="preserve">山西</w:t>
            </w:r>
          </w:p>
        </w:tc>
        <w:tc>
          <w:tcPr/>
          <w:p>
            <w:pPr>
              <w:pStyle w:val="Compact"/>
              <w:jc w:val="left"/>
            </w:pPr>
            <w:r>
              <w:t xml:space="preserve">《山西省药品零售经营监督管理办法（试行）》（晋药监规〔2026〕7号）</w:t>
            </w:r>
          </w:p>
        </w:tc>
        <w:tc>
          <w:tcPr/>
          <w:p>
            <w:pPr>
              <w:pStyle w:val="Compact"/>
              <w:jc w:val="left"/>
            </w:pPr>
            <w:r>
              <w:t xml:space="preserve">2026年5月1日</w:t>
            </w:r>
          </w:p>
        </w:tc>
        <w:tc>
          <w:tcPr/>
          <w:p>
            <w:pPr>
              <w:pStyle w:val="Compact"/>
              <w:jc w:val="center"/>
            </w:pPr>
            <w:r>
              <w:t xml:space="preserve">✅ 明确</w:t>
            </w:r>
            <w:r>
              <w:t xml:space="preserve"> </w:t>
            </w:r>
            <w:fldSimple w:instr="NOTEREF _Ref_Footnote_132 \h \f">
              <w:r>
                <w:rPr>
                  <w:vertAlign w:val="superscript"/>
                </w:rPr>
                <w:t>132</w:t>
              </w:r>
            </w:fldSimple>
          </w:p>
        </w:tc>
        <w:tc>
          <w:tcPr/>
          <w:p>
            <w:pPr>
              <w:pStyle w:val="Compact"/>
              <w:jc w:val="center"/>
            </w:pPr>
            <w:r>
              <w:t xml:space="preserve">✅ 明确</w:t>
            </w:r>
            <w:r>
              <w:t xml:space="preserve"> </w:t>
            </w:r>
            <w:r>
              <w:rPr>
                <w:vertAlign w:val="superscript"/>
              </w:rPr>
              <w:footnoteReference w:id="134"/>
            </w:r>
          </w:p>
        </w:tc>
        <w:tc>
          <w:tcPr/>
          <w:p>
            <w:pPr>
              <w:pStyle w:val="Compact"/>
              <w:jc w:val="center"/>
            </w:pPr>
            <w:r>
              <w:t xml:space="preserve">✅ 明确</w:t>
            </w:r>
            <w:r>
              <w:t xml:space="preserve"> </w:t>
            </w:r>
            <w:r>
              <w:rPr>
                <w:vertAlign w:val="superscript"/>
              </w:rPr>
              <w:footnoteReference w:id="135"/>
            </w:r>
          </w:p>
        </w:tc>
        <w:tc>
          <w:tcPr/>
          <w:p>
            <w:pPr>
              <w:pStyle w:val="Compact"/>
              <w:jc w:val="center"/>
            </w:pPr>
            <w:r>
              <w:t xml:space="preserve">未明确</w:t>
            </w:r>
          </w:p>
        </w:tc>
        <w:tc>
          <w:tcPr/>
          <w:p>
            <w:pPr>
              <w:pStyle w:val="Compact"/>
              <w:jc w:val="left"/>
            </w:pPr>
            <w:r>
              <w:t xml:space="preserve">县级/市级</w:t>
            </w:r>
          </w:p>
        </w:tc>
      </w:tr>
      <w:tr>
        <w:tc>
          <w:tcPr/>
          <w:p>
            <w:pPr>
              <w:pStyle w:val="Compact"/>
              <w:jc w:val="left"/>
            </w:pPr>
            <w:r>
              <w:t xml:space="preserve">辽宁</w:t>
            </w:r>
          </w:p>
        </w:tc>
        <w:tc>
          <w:tcPr/>
          <w:p>
            <w:pPr>
              <w:pStyle w:val="Compact"/>
              <w:jc w:val="left"/>
            </w:pPr>
            <w:r>
              <w:t xml:space="preserve">《辽宁省药品网络销售监督管理办法实施细则》</w:t>
            </w:r>
          </w:p>
        </w:tc>
        <w:tc>
          <w:tcPr/>
          <w:p>
            <w:pPr>
              <w:pStyle w:val="Compact"/>
              <w:jc w:val="left"/>
            </w:pPr>
            <w:r>
              <w:t xml:space="preserve">2024年12月</w:t>
            </w:r>
          </w:p>
        </w:tc>
        <w:tc>
          <w:tcPr/>
          <w:p>
            <w:pPr>
              <w:pStyle w:val="Compact"/>
              <w:jc w:val="center"/>
            </w:pPr>
            <w:r>
              <w:t xml:space="preserve">✅ 明确</w:t>
            </w:r>
            <w:r>
              <w:t xml:space="preserve"> </w:t>
            </w:r>
            <w:fldSimple w:instr="NOTEREF _Ref_Footnote_133 \h \f">
              <w:r>
                <w:rPr>
                  <w:vertAlign w:val="superscript"/>
                </w:rPr>
                <w:t>133</w:t>
              </w:r>
            </w:fldSimple>
          </w:p>
        </w:tc>
        <w:tc>
          <w:tcPr/>
          <w:p>
            <w:pPr>
              <w:pStyle w:val="Compact"/>
              <w:jc w:val="center"/>
            </w:pPr>
            <w:r>
              <w:t xml:space="preserve">✅ 明确</w:t>
            </w:r>
            <w:r>
              <w:t xml:space="preserve"> </w:t>
            </w:r>
            <w:r>
              <w:rPr>
                <w:vertAlign w:val="superscript"/>
              </w:rPr>
              <w:footnoteReference w:id="136"/>
            </w:r>
          </w:p>
        </w:tc>
        <w:tc>
          <w:tcPr/>
          <w:p>
            <w:pPr>
              <w:pStyle w:val="Compact"/>
              <w:jc w:val="center"/>
            </w:pPr>
            <w:r>
              <w:t xml:space="preserve">✅ 明确</w:t>
            </w:r>
            <w:r>
              <w:t xml:space="preserve"> </w:t>
            </w:r>
            <w:r>
              <w:rPr>
                <w:vertAlign w:val="superscript"/>
              </w:rPr>
              <w:footnoteReference w:id="137"/>
            </w:r>
          </w:p>
        </w:tc>
        <w:tc>
          <w:tcPr/>
          <w:p>
            <w:pPr>
              <w:pStyle w:val="Compact"/>
              <w:jc w:val="center"/>
            </w:pPr>
            <w:r>
              <w:t xml:space="preserve">未明确</w:t>
            </w:r>
          </w:p>
        </w:tc>
        <w:tc>
          <w:tcPr/>
          <w:p>
            <w:pPr>
              <w:pStyle w:val="Compact"/>
              <w:jc w:val="left"/>
            </w:pPr>
            <w:r>
              <w:t xml:space="preserve">市级/县级</w:t>
            </w:r>
          </w:p>
        </w:tc>
      </w:tr>
      <w:tr>
        <w:tc>
          <w:tcPr/>
          <w:p>
            <w:pPr>
              <w:pStyle w:val="Compact"/>
              <w:jc w:val="left"/>
            </w:pPr>
            <w:r>
              <w:t xml:space="preserve">北京</w:t>
            </w:r>
          </w:p>
        </w:tc>
        <w:tc>
          <w:tcPr/>
          <w:p>
            <w:pPr>
              <w:pStyle w:val="Compact"/>
              <w:jc w:val="left"/>
            </w:pPr>
            <w:r>
              <w:t xml:space="preserve">《北京市药品网络销售监督管理办法实施细则》</w:t>
            </w:r>
          </w:p>
        </w:tc>
        <w:tc>
          <w:tcPr/>
          <w:p>
            <w:pPr>
              <w:pStyle w:val="Compact"/>
              <w:jc w:val="left"/>
            </w:pPr>
            <w:r>
              <w:t xml:space="preserve">2023年11月1日</w:t>
            </w:r>
          </w:p>
        </w:tc>
        <w:tc>
          <w:tcPr/>
          <w:p>
            <w:pPr>
              <w:pStyle w:val="Compact"/>
              <w:jc w:val="center"/>
            </w:pPr>
            <w:r>
              <w:t xml:space="preserve">未明确</w:t>
            </w:r>
          </w:p>
        </w:tc>
        <w:tc>
          <w:tcPr/>
          <w:p>
            <w:pPr>
              <w:pStyle w:val="Compact"/>
              <w:jc w:val="center"/>
            </w:pPr>
            <w:r>
              <w:t xml:space="preserve">未明确</w:t>
            </w:r>
          </w:p>
        </w:tc>
        <w:tc>
          <w:tcPr/>
          <w:p>
            <w:pPr>
              <w:pStyle w:val="Compact"/>
              <w:jc w:val="center"/>
            </w:pPr>
            <w:r>
              <w:t xml:space="preserve">✅ 明确</w:t>
            </w:r>
            <w:r>
              <w:t xml:space="preserve"> </w:t>
            </w:r>
            <w:r>
              <w:rPr>
                <w:vertAlign w:val="superscript"/>
              </w:rPr>
              <w:footnoteReference w:id="138"/>
            </w:r>
          </w:p>
        </w:tc>
        <w:tc>
          <w:tcPr/>
          <w:p>
            <w:pPr>
              <w:pStyle w:val="Compact"/>
              <w:jc w:val="center"/>
            </w:pPr>
            <w:r>
              <w:t xml:space="preserve">未明确</w:t>
            </w:r>
          </w:p>
        </w:tc>
        <w:tc>
          <w:tcPr/>
          <w:p>
            <w:pPr>
              <w:pStyle w:val="Compact"/>
              <w:jc w:val="left"/>
            </w:pPr>
            <w:r>
              <w:t xml:space="preserve">市级</w:t>
            </w:r>
          </w:p>
        </w:tc>
      </w:tr>
      <w:tr>
        <w:tc>
          <w:tcPr/>
          <w:p>
            <w:pPr>
              <w:pStyle w:val="Compact"/>
              <w:jc w:val="left"/>
            </w:pPr>
            <w:r>
              <w:t xml:space="preserve">浙江</w:t>
            </w:r>
          </w:p>
        </w:tc>
        <w:tc>
          <w:tcPr/>
          <w:p>
            <w:pPr>
              <w:pStyle w:val="Compact"/>
              <w:jc w:val="left"/>
            </w:pPr>
            <w:r>
              <w:t xml:space="preserve">《浙江省药品网络销售监督管理办法实施细则》（浙药监规〔2023〕2号）</w:t>
            </w:r>
          </w:p>
        </w:tc>
        <w:tc>
          <w:tcPr/>
          <w:p>
            <w:pPr>
              <w:pStyle w:val="Compact"/>
              <w:jc w:val="left"/>
            </w:pPr>
            <w:r>
              <w:t xml:space="preserve">2023年11月30日</w:t>
            </w:r>
          </w:p>
        </w:tc>
        <w:tc>
          <w:tcPr/>
          <w:p>
            <w:pPr>
              <w:pStyle w:val="Compact"/>
              <w:jc w:val="center"/>
            </w:pPr>
            <w:r>
              <w:t xml:space="preserve">未明确</w:t>
            </w:r>
          </w:p>
        </w:tc>
        <w:tc>
          <w:tcPr/>
          <w:p>
            <w:pPr>
              <w:pStyle w:val="Compact"/>
              <w:jc w:val="center"/>
            </w:pPr>
            <w:r>
              <w:t xml:space="preserve">未明确</w:t>
            </w:r>
          </w:p>
        </w:tc>
        <w:tc>
          <w:tcPr/>
          <w:p>
            <w:pPr>
              <w:pStyle w:val="Compact"/>
              <w:jc w:val="center"/>
            </w:pPr>
            <w:r>
              <w:t xml:space="preserve">未明确</w:t>
            </w:r>
          </w:p>
        </w:tc>
        <w:tc>
          <w:tcPr/>
          <w:p>
            <w:pPr>
              <w:pStyle w:val="Compact"/>
              <w:jc w:val="center"/>
            </w:pPr>
            <w:r>
              <w:t xml:space="preserve">未明确</w:t>
            </w:r>
          </w:p>
        </w:tc>
        <w:tc>
          <w:tcPr/>
          <w:p>
            <w:pPr>
              <w:pStyle w:val="Compact"/>
              <w:jc w:val="left"/>
            </w:pPr>
            <w:r>
              <w:t xml:space="preserve">县级/市级</w:t>
            </w:r>
          </w:p>
        </w:tc>
      </w:tr>
      <w:tr>
        <w:tc>
          <w:tcPr/>
          <w:p>
            <w:pPr>
              <w:pStyle w:val="Compact"/>
              <w:jc w:val="left"/>
            </w:pPr>
            <w:r>
              <w:t xml:space="preserve">江西</w:t>
            </w:r>
          </w:p>
        </w:tc>
        <w:tc>
          <w:tcPr/>
          <w:p>
            <w:pPr>
              <w:pStyle w:val="Compact"/>
              <w:jc w:val="left"/>
            </w:pPr>
            <w:r>
              <w:t xml:space="preserve">《江西省药品网络销售监督管理办法实施细则》（赣药监规〔2024〕11号）</w:t>
            </w:r>
          </w:p>
        </w:tc>
        <w:tc>
          <w:tcPr/>
          <w:p>
            <w:pPr>
              <w:pStyle w:val="Compact"/>
              <w:jc w:val="left"/>
            </w:pPr>
            <w:r>
              <w:t xml:space="preserve">2024年</w:t>
            </w:r>
          </w:p>
        </w:tc>
        <w:tc>
          <w:tcPr/>
          <w:p>
            <w:pPr>
              <w:pStyle w:val="Compact"/>
              <w:jc w:val="center"/>
            </w:pPr>
            <w:r>
              <w:t xml:space="preserve">未明确</w:t>
            </w:r>
          </w:p>
        </w:tc>
        <w:tc>
          <w:tcPr/>
          <w:p>
            <w:pPr>
              <w:pStyle w:val="Compact"/>
              <w:jc w:val="center"/>
            </w:pPr>
            <w:r>
              <w:t xml:space="preserve">门店可为总部仓库</w:t>
            </w:r>
          </w:p>
        </w:tc>
        <w:tc>
          <w:tcPr/>
          <w:p>
            <w:pPr>
              <w:pStyle w:val="Compact"/>
              <w:jc w:val="center"/>
            </w:pPr>
            <w:r>
              <w:t xml:space="preserve">✅ 明确</w:t>
            </w:r>
            <w:r>
              <w:t xml:space="preserve"> </w:t>
            </w:r>
            <w:r>
              <w:rPr>
                <w:vertAlign w:val="superscript"/>
              </w:rPr>
              <w:footnoteReference w:id="139"/>
            </w:r>
          </w:p>
        </w:tc>
        <w:tc>
          <w:tcPr/>
          <w:p>
            <w:pPr>
              <w:pStyle w:val="Compact"/>
              <w:jc w:val="center"/>
            </w:pPr>
            <w:r>
              <w:t xml:space="preserve">✅ 明确</w:t>
            </w:r>
            <w:r>
              <w:t xml:space="preserve"> </w:t>
            </w:r>
            <w:fldSimple w:instr="NOTEREF _Ref_Footnote_60 \h \f">
              <w:r>
                <w:rPr>
                  <w:vertAlign w:val="superscript"/>
                </w:rPr>
                <w:t>60</w:t>
              </w:r>
            </w:fldSimple>
          </w:p>
        </w:tc>
        <w:tc>
          <w:tcPr/>
          <w:p>
            <w:pPr>
              <w:pStyle w:val="Compact"/>
              <w:jc w:val="left"/>
            </w:pPr>
            <w:r>
              <w:t xml:space="preserve">未明确</w:t>
            </w:r>
          </w:p>
        </w:tc>
      </w:tr>
      <w:tr>
        <w:tc>
          <w:tcPr/>
          <w:p>
            <w:pPr>
              <w:pStyle w:val="Compact"/>
              <w:jc w:val="left"/>
            </w:pPr>
            <w:r>
              <w:t xml:space="preserve">湖南</w:t>
            </w:r>
          </w:p>
        </w:tc>
        <w:tc>
          <w:tcPr/>
          <w:p>
            <w:pPr>
              <w:pStyle w:val="Compact"/>
              <w:jc w:val="left"/>
            </w:pPr>
            <w:r>
              <w:t xml:space="preserve">《湖南省药品网络销售监督管理实施办法》</w:t>
            </w:r>
          </w:p>
        </w:tc>
        <w:tc>
          <w:tcPr/>
          <w:p>
            <w:pPr>
              <w:pStyle w:val="Compact"/>
              <w:jc w:val="left"/>
            </w:pPr>
            <w:r>
              <w:t xml:space="preserve">2024年6月</w:t>
            </w:r>
          </w:p>
        </w:tc>
        <w:tc>
          <w:tcPr/>
          <w:p>
            <w:pPr>
              <w:pStyle w:val="Compact"/>
              <w:jc w:val="center"/>
            </w:pPr>
            <w:r>
              <w:t xml:space="preserve">✅ 明确</w:t>
            </w:r>
            <w:r>
              <w:t xml:space="preserve"> </w:t>
            </w:r>
            <w:r>
              <w:rPr>
                <w:vertAlign w:val="superscript"/>
              </w:rPr>
              <w:footnoteReference w:id="140"/>
            </w:r>
          </w:p>
        </w:tc>
        <w:tc>
          <w:tcPr/>
          <w:p>
            <w:pPr>
              <w:pStyle w:val="Compact"/>
              <w:jc w:val="center"/>
            </w:pPr>
            <w:r>
              <w:t xml:space="preserve">✅ 明确</w:t>
            </w:r>
            <w:r>
              <w:t xml:space="preserve"> </w:t>
            </w:r>
            <w:r>
              <w:rPr>
                <w:vertAlign w:val="superscript"/>
              </w:rPr>
              <w:footnoteReference w:id="141"/>
            </w:r>
          </w:p>
        </w:tc>
        <w:tc>
          <w:tcPr/>
          <w:p>
            <w:pPr>
              <w:pStyle w:val="Compact"/>
              <w:jc w:val="center"/>
            </w:pPr>
            <w:r>
              <w:t xml:space="preserve">未明确</w:t>
            </w:r>
          </w:p>
        </w:tc>
        <w:tc>
          <w:tcPr/>
          <w:p>
            <w:pPr>
              <w:pStyle w:val="Compact"/>
              <w:jc w:val="center"/>
            </w:pPr>
            <w:r>
              <w:t xml:space="preserve">未明确</w:t>
            </w:r>
          </w:p>
        </w:tc>
        <w:tc>
          <w:tcPr/>
          <w:p>
            <w:pPr>
              <w:pStyle w:val="Compact"/>
              <w:jc w:val="left"/>
            </w:pPr>
            <w:r>
              <w:t xml:space="preserve">未明确</w:t>
            </w:r>
          </w:p>
        </w:tc>
      </w:tr>
    </w:tbl>
    <w:p>
      <w:pPr>
        <w:pStyle w:val="BodyText"/>
      </w:pPr>
      <w:r>
        <w:t xml:space="preserve">上表揭示三项结构性趋势。其一，湖北、山东、山西、辽宁、湖南五省已明确将”无实体不得网售”写入地方规则，北京、浙江侧重”线上线下一体化监管”，尚未明确禁止无实体门店网售</w:t>
      </w:r>
      <w:r>
        <w:rPr>
          <w:vertAlign w:val="superscript"/>
        </w:rPr>
        <w:footnoteReference w:id="142"/>
      </w:r>
      <w:r>
        <w:t xml:space="preserve">。其二，湖北、山东、山西、辽宁、湖南均禁止连锁总部直接向个人销售药品，仅江西允许连锁门店以总部仓库作为发货地址，保留了部分物流统筹空间</w:t>
      </w:r>
      <w:fldSimple w:instr="NOTEREF _Ref_Footnote_139 \h \f">
        <w:r>
          <w:rPr>
            <w:vertAlign w:val="superscript"/>
          </w:rPr>
          <w:t>139</w:t>
        </w:r>
      </w:fldSimple>
      <w:r>
        <w:t xml:space="preserve">。其三，山西、辽宁、北京、江西四省明确要求发货地址与药品监管部门核准的地址一致，防止企业在未经审批的”黑仓房”发货，绕过药品经营质量管理规范（GSP）的温控与追溯要求。国家药监局在2026年5月政策解读中已将”发货地址与许可证载明地址不一致”列为下一步重点检查事项</w:t>
      </w:r>
      <w:fldSimple w:instr="NOTEREF _Ref_Footnote_57 \h \f">
        <w:r>
          <w:rPr>
            <w:vertAlign w:val="superscript"/>
          </w:rPr>
          <w:t>57</w:t>
        </w:r>
      </w:fldSimple>
      <w:r>
        <w:t xml:space="preserve">。山东、湖北等先行省份的模板正被后续地区参照，预计2026年下半年将有更多药品零售大省跟进。</w:t>
      </w:r>
    </w:p>
    <w:bookmarkEnd w:id="102"/>
    <w:bookmarkStart w:id="103" w:name="国家层面升级2026年5月处方药网络零售合规指南收紧合规边界"/>
    <w:p>
      <w:pPr>
        <w:pStyle w:val="Heading4"/>
      </w:pPr>
      <w:r>
        <w:t xml:space="preserve">7.1.3 国家层面升级：2026年5月《处方药网络零售合规指南》收紧合规边界</w:t>
      </w:r>
    </w:p>
    <w:p>
      <w:pPr>
        <w:pStyle w:val="FirstParagraph"/>
      </w:pPr>
      <w:r>
        <w:t xml:space="preserve">2026年5月25日，国家药监局综合司印发《处方药网络零售合规指南》（药监综药管函〔2026〕282号），对药品网络零售企业和第三方平台提出系统性合规要求</w:t>
      </w:r>
      <w:r>
        <w:rPr>
          <w:vertAlign w:val="superscript"/>
        </w:rPr>
        <w:footnoteReference w:id="143"/>
      </w:r>
      <w:r>
        <w:t xml:space="preserve">。与2025年9月征求意见稿相比，正式版约束力度显著升级。首先，审方人员从”药师或其他药学技术人员”收紧为”执业药师”，并明确禁止人工智能（AI）替代审方，要求”处方审核工作不得由其他岗位人员或者人工智能代为实施”</w:t>
      </w:r>
      <w:r>
        <w:rPr>
          <w:vertAlign w:val="superscript"/>
        </w:rPr>
        <w:footnoteReference w:id="144"/>
      </w:r>
      <w:r>
        <w:t xml:space="preserve">。其次，处方药信息展示被严格隔离：平台首页、店铺主页不得展示处方药包装、标签信息；处方通过审核前，不得展示或提供药品说明书，页面不得含有功能主治、适应症、用法用量等信息</w:t>
      </w:r>
      <w:r>
        <w:rPr>
          <w:vertAlign w:val="superscript"/>
        </w:rPr>
        <w:footnoteReference w:id="145"/>
      </w:r>
      <w:r>
        <w:t xml:space="preserve">。再次，指南禁止以买赠、竞猜、提货卡、组合销售等方式诱导处方药消费，同时禁止以营销为目的的短视频、直播推广</w:t>
      </w:r>
      <w:r>
        <w:rPr>
          <w:vertAlign w:val="superscript"/>
        </w:rPr>
        <w:footnoteReference w:id="146"/>
      </w:r>
      <w:r>
        <w:t xml:space="preserve">。最后，网络销售处方药实行实名制，对未成年人购药应警示风险并必要时拦截</w:t>
      </w:r>
      <w:r>
        <w:rPr>
          <w:vertAlign w:val="superscript"/>
        </w:rPr>
        <w:footnoteReference w:id="147"/>
      </w:r>
      <w:r>
        <w:t xml:space="preserve">。这些条款叠加，意味着依赖流量营销与AI降本的中小玩家将面临加速出清。</w:t>
      </w:r>
    </w:p>
    <w:bookmarkEnd w:id="103"/>
    <w:bookmarkEnd w:id="104"/>
    <w:bookmarkStart w:id="108" w:name="执法案例与处罚态势"/>
    <w:p>
      <w:pPr>
        <w:pStyle w:val="Heading3"/>
      </w:pPr>
      <w:r>
        <w:t xml:space="preserve">7.2 执法案例与处罚态势</w:t>
      </w:r>
    </w:p>
    <w:bookmarkStart w:id="105" w:name="非法渠道购进百万级罚款与组合惩戒"/>
    <w:p>
      <w:pPr>
        <w:pStyle w:val="Heading4"/>
      </w:pPr>
      <w:r>
        <w:t xml:space="preserve">7.2.1 非法渠道购进：百万级罚款与组合惩戒</w:t>
      </w:r>
    </w:p>
    <w:p>
      <w:pPr>
        <w:pStyle w:val="FirstParagraph"/>
      </w:pPr>
      <w:r>
        <w:t xml:space="preserve">2024年12月，广东省药品监督管理局公布处罚决定：某药品经营企业于2022年7月至2024年2月期间，从无药品经营资质的个人处购进大量药品，并通过互联网平台网店销售，涉案货值541.6万元，违法所得515.2万元。监管部门依据《药品管理法》第一百二十九条，没收违法所得515.2万元，处以罚款1083.2万元，合计罚没近1600万元，并吊销其《药品经营许可证》</w:t>
      </w:r>
      <w:r>
        <w:rPr>
          <w:vertAlign w:val="superscript"/>
        </w:rPr>
        <w:footnoteReference w:id="148"/>
      </w:r>
      <w:r>
        <w:t xml:space="preserve">。2025年6月，国家药监局公布”清源”行动典型案例，广东省惠州市惠东县稔山镇燕记药店因从非法渠道购进药品、未经批准变更仓储许可、未遵守GSP经营药品，被处以罚款130万元、责令关闭私设仓库、吊销许可证的行政处罚</w:t>
      </w:r>
      <w:r>
        <w:rPr>
          <w:vertAlign w:val="superscript"/>
        </w:rPr>
        <w:footnoteReference w:id="149"/>
      </w:r>
      <w:r>
        <w:t xml:space="preserve">。两案表明，对非法渠道购药的打击已从单纯罚款转向”罚款+吊销+关闭仓库”的组合惩戒，且日益强调跨部门协同与行刑衔接。</w:t>
      </w:r>
    </w:p>
    <w:bookmarkEnd w:id="105"/>
    <w:bookmarkStart w:id="106" w:name="网络销售违规报告义务与处方审核成为高频处罚点"/>
    <w:p>
      <w:pPr>
        <w:pStyle w:val="Heading4"/>
      </w:pPr>
      <w:r>
        <w:t xml:space="preserve">7.2.2 网络销售违规：报告义务与处方审核成为高频处罚点</w:t>
      </w:r>
    </w:p>
    <w:p>
      <w:pPr>
        <w:pStyle w:val="FirstParagraph"/>
      </w:pPr>
      <w:r>
        <w:t xml:space="preserve">2025年2月，吉安市市场监管局发现江西某连锁大药房有限公司井开区四店通过京东、拼多多等第三方平台网络销售药品，未按规定向监管部门报告。该局依据《药品网络销售监督管理办法》第三十五条责令其限期改正，15日后复查仍未整改。2025年6月，该门店被处以2万元罚款，此系江西省”清源”行动中首批公布的网络销售典型案例，也是全国范围内因未履行网售报告义务而被罚款的标志性案例</w:t>
      </w:r>
      <w:r>
        <w:rPr>
          <w:vertAlign w:val="superscript"/>
        </w:rPr>
        <w:footnoteReference w:id="150"/>
      </w:r>
      <w:r>
        <w:t xml:space="preserve">。</w:t>
      </w:r>
    </w:p>
    <w:p>
      <w:pPr>
        <w:pStyle w:val="BodyText"/>
      </w:pPr>
      <w:r>
        <w:t xml:space="preserve">在处方审核环节，2024年5月，福州市连江县市场监管局在”清网”行动中发现，福州某医药连锁有限公司连江分店于2024年4月23日通过某平台销售处方药”头孢克肟片”，处方由广州市某医疗科技有限公司开具，但连锁总部未依法与电子处方提供单位签订协议。截至案发，当事人通过平台销售处方药共计150单。2024年7月，连江县市场监管局决定予以减轻处罚，责令改正并罚款3000元</w:t>
      </w:r>
      <w:r>
        <w:rPr>
          <w:vertAlign w:val="superscript"/>
        </w:rPr>
        <w:footnoteReference w:id="151"/>
      </w:r>
      <w:r>
        <w:t xml:space="preserve">。该案的法定处罚幅度为3万元以上5万元以下罚款（《药品网络销售监督管理办法》第三十四条），减轻处罚至3000元反映出基层执法部门对主观恶性与危害后果的区分，但案件本身仍清晰传递了”未签协议即售处方药”属于程序性违规的红线信号。</w:t>
      </w:r>
    </w:p>
    <w:bookmarkEnd w:id="106"/>
    <w:bookmarkStart w:id="107" w:name="双罚制成为标配企业罚款叠加个人十年禁业与刑事移送"/>
    <w:p>
      <w:pPr>
        <w:pStyle w:val="Heading4"/>
      </w:pPr>
      <w:r>
        <w:t xml:space="preserve">7.2.3 双罚制成为标配：企业罚款叠加个人十年禁业与刑事移送</w:t>
      </w:r>
    </w:p>
    <w:p>
      <w:pPr>
        <w:pStyle w:val="FirstParagraph"/>
      </w:pPr>
      <w:r>
        <w:t xml:space="preserve">2024—2025年药品网络销售执法的另一显著特征是”双罚制”的常态化适用。国家药监局第七批典型案例（2024年12月公布）显示，重庆兴瑞康大药房因违规储存并通过网络销售药品，被罚款195万元，其前法定代表人被禁止十年从事药品生产经营活动</w:t>
      </w:r>
      <w:r>
        <w:rPr>
          <w:vertAlign w:val="superscript"/>
        </w:rPr>
        <w:footnoteReference w:id="152"/>
      </w:r>
      <w:r>
        <w:t xml:space="preserve">。另一案例中，某企业因未遵守GSP经营药品，被罚款97万元、责令停产停业，其法定代表人被没收收入、罚款并十年禁业，销售员、质量负责人等亦被追责</w:t>
      </w:r>
      <w:r>
        <w:rPr>
          <w:vertAlign w:val="superscript"/>
        </w:rPr>
        <w:footnoteReference w:id="153"/>
      </w:r>
      <w:r>
        <w:t xml:space="preserve">。在行刑衔接方面，2025年5月，赣州市市场监管局调查发现，童某在未取得《药品经营许可证》的情况下，通过微信销售无中文标签、无批准证明文件且含有西地那非、达泊西汀成分的药品，涉案货值9.25万元。2025年6月，该案依法移送公安机关处理</w:t>
      </w:r>
      <w:r>
        <w:rPr>
          <w:vertAlign w:val="superscript"/>
        </w:rPr>
        <w:footnoteReference w:id="154"/>
      </w:r>
      <w:r>
        <w:t xml:space="preserve">。此类案件与《刑法》第一百四十二条之一”妨害药品管理罪”的构成要件高度契合，反映出监管部门对无证网售不再止步于行政处罚，而是直接启动刑事追责。企业罚款、个人十年禁业、涉嫌犯罪者移送公安机关的三重处罚结构，已使违法成本远超违法收益。</w:t>
      </w:r>
    </w:p>
    <w:bookmarkEnd w:id="107"/>
    <w:bookmarkEnd w:id="108"/>
    <w:bookmarkStart w:id="111" w:name="无实体不得网售对商业模式的影响"/>
    <w:p>
      <w:pPr>
        <w:pStyle w:val="Heading3"/>
      </w:pPr>
      <w:r>
        <w:t xml:space="preserve">7.3</w:t>
      </w:r>
      <w:r>
        <w:t xml:space="preserve"> </w:t>
      </w:r>
      <w:r>
        <w:t xml:space="preserve">“</w:t>
      </w:r>
      <w:r>
        <w:t xml:space="preserve">无实体不得网售</w:t>
      </w:r>
      <w:r>
        <w:t xml:space="preserve">”</w:t>
      </w:r>
      <w:r>
        <w:t xml:space="preserve">对商业模式的影响</w:t>
      </w:r>
    </w:p>
    <w:bookmarkStart w:id="109" w:name="纯线上药品零售模式被制度性终结"/>
    <w:p>
      <w:pPr>
        <w:pStyle w:val="Heading4"/>
      </w:pPr>
      <w:r>
        <w:t xml:space="preserve">7.3.1 纯线上药品零售模式被制度性终结</w:t>
      </w:r>
    </w:p>
    <w:p>
      <w:pPr>
        <w:pStyle w:val="FirstParagraph"/>
      </w:pPr>
      <w:r>
        <w:t xml:space="preserve">“</w:t>
      </w:r>
      <w:r>
        <w:t xml:space="preserve">无实体门店不得网售药品</w:t>
      </w:r>
      <w:r>
        <w:t xml:space="preserve">”</w:t>
      </w:r>
      <w:r>
        <w:t xml:space="preserve">条款从山东、湖北、山西、辽宁等省的地方规则，逐步演变为药品网络零售领域的全国性准入共识。这一制度安排的根本逻辑在于解决”线上无边界”与”监管属地化”之间的结构性冲突：通过将线上销售主体锚定于实体门店，监管责任得以明确归属至门店所在地药监部门，线上业务不再是脱离线下监管体系的”飞地”。从商业模式视角审视，该条款实质上宣告了早期互联网医药电商”无实体店+线上销售”纯B2C模式的制度性终结。部分医药电商曾通过注册虚拟地址或租用小型办公场地获取许可证，再以”空壳网店”形式在第三方平台大规模销售药品，其竞争优势来源于省略实体门店成本后的低价能力。随着山东、湖北、山西等省明确将线下实体门店作为网售前置条件，此类纯线上药房要么被迫转型为”线上+线下”一体化经营者，要么因无法满足实体门店准入要求而退出市场。更深层的影响在于，实体药店的战略价值正从传统的销售终端，向线上业务的”监管节点”与”准入牌照”跃升。在网络销售必须依托实体门店的制度框架下，每一家合规实体药店都对应着一个线上销售入口的资质许可，小型实体药店由此成为电商巨头寻求合规入口时的潜在收购标的。</w:t>
      </w:r>
    </w:p>
    <w:bookmarkEnd w:id="109"/>
    <w:bookmarkStart w:id="110" w:name="头部连锁在o2o竞争中获得结构性优势纯电商平台被迫线下化"/>
    <w:p>
      <w:pPr>
        <w:pStyle w:val="Heading4"/>
      </w:pPr>
      <w:r>
        <w:t xml:space="preserve">7.3.2 头部连锁在O2O竞争中获得结构性优势，纯电商平台被迫”线下化”</w:t>
      </w:r>
    </w:p>
    <w:p>
      <w:pPr>
        <w:pStyle w:val="FirstParagraph"/>
      </w:pPr>
      <w:r>
        <w:t xml:space="preserve">“</w:t>
      </w:r>
      <w:r>
        <w:t xml:space="preserve">无实体不得网售</w:t>
      </w:r>
      <w:r>
        <w:t xml:space="preserve">”</w:t>
      </w:r>
      <w:r>
        <w:t xml:space="preserve">与”连锁总部禁直售”的组合政策，正在重塑药品网络零售的竞争格局。对头部连锁药店而言，其拥有的庞大实体门店网络从成本负担转化为结构性优势。行业数据显示，老百姓大药房O2O外卖服务门店占比约78%，益丰药房O2O直营店占比约86%</w:t>
      </w:r>
      <w:r>
        <w:rPr>
          <w:vertAlign w:val="superscript"/>
        </w:rPr>
        <w:footnoteReference w:id="155"/>
      </w:r>
      <w:r>
        <w:t xml:space="preserve">。在”以门店为销售主体”的规则下，这些连锁企业的O2O订单本就由门店或门店附近前置仓完成履约，与湖北、山西等地新规的契合度较高，合规过渡成本相对有限。相反，纯电商平台面临显著的”线下化”转型压力。2022年《药品管理法实施条例（修订草案征求意见稿）》曾提出”第三方平台提供者不得直接参与药品网络销售活动”，一度引发阿里健康、京东健康等头部平台股价大幅波动</w:t>
      </w:r>
      <w:r>
        <w:rPr>
          <w:vertAlign w:val="superscript"/>
        </w:rPr>
        <w:footnoteReference w:id="156"/>
      </w:r>
      <w:r>
        <w:t xml:space="preserve">。尽管正式版条例未完全采纳该表述，但地方细则对连锁总部的限制与实体门店的强制要求，已在实质上压缩了平台自营药品的空间。为获取实体门店网络，纯电商平台必须选择自建门店、收购连锁药店或与实体药店深度合作，但无论哪种路径，均意味着资本投入增加、管理半径扩大与合规复杂度上升。从行业集中度视角看，合规成本的上升预计将加速中小网络药店的退出，而拥有实体门店网络和专业执业药师团队的头部连锁药店，其市场份额有望进一步提升。药品网络零售市场正从”流量驱动”的野蛮生长阶段，转向”实体锚定、合规驱动”的规则重塑阶段。</w:t>
      </w:r>
    </w:p>
    <w:p>
      <w:r>
        <w:pict>
          <v:rect style="width:0;height:1.5pt" o:hralign="center" o:hrstd="t" o:hr="t"/>
        </w:pict>
      </w:r>
    </w:p>
    <w:bookmarkEnd w:id="110"/>
    <w:bookmarkEnd w:id="111"/>
    <w:bookmarkEnd w:id="112"/>
    <w:bookmarkEnd w:id="113"/>
    <w:bookmarkStart w:id="138" w:name="政策影响法律风险与合规争议"/>
    <w:p>
      <w:pPr>
        <w:pStyle w:val="Heading1"/>
      </w:pPr>
      <w:r>
        <w:t xml:space="preserve">8. 政策影响、法律风险与合规争议</w:t>
      </w:r>
    </w:p>
    <w:bookmarkStart w:id="117" w:name="行业影响评估"/>
    <w:p>
      <w:pPr>
        <w:pStyle w:val="Heading2"/>
      </w:pPr>
      <w:r>
        <w:t xml:space="preserve">8.1 行业影响评估</w:t>
      </w:r>
    </w:p>
    <w:bookmarkStart w:id="114" w:name="全国药店闭店潮加速从增量扩张到存量出清"/>
    <w:p>
      <w:pPr>
        <w:pStyle w:val="Heading3"/>
      </w:pPr>
      <w:r>
        <w:t xml:space="preserve">8.1.1 全国药店闭店潮加速：从增量扩张到存量出清</w:t>
      </w:r>
    </w:p>
    <w:p>
      <w:pPr>
        <w:pStyle w:val="FirstParagraph"/>
      </w:pPr>
      <w:r>
        <w:t xml:space="preserve">2024年是中国药品零售行业由扩张转向收缩的历史拐点。中康CMH数据显示，2024年全国关闭零售药店约3.9万家，闭店率攀升至5.7%，较2023年的3.8%上升1.9个百分点，日均关店107家；第四季度单季闭店14,114家，首次出现季度环比负增长。</w:t>
      </w:r>
      <w:r>
        <w:rPr>
          <w:vertAlign w:val="superscript"/>
        </w:rPr>
        <w:footnoteReference w:id="157"/>
      </w:r>
      <w:r>
        <w:t xml:space="preserve"> </w:t>
      </w:r>
      <w:r>
        <w:t xml:space="preserve">进入2025年，出清速度进一步加快。米内网监测数据显示，2025年第一季度全国环比净减少约3,000家，全年预计关闭5万至10万家，行业总规模可能从70万家回落至60万家以下。</w:t>
      </w:r>
      <w:r>
        <w:rPr>
          <w:vertAlign w:val="superscript"/>
        </w:rPr>
        <w:footnoteReference w:id="158"/>
      </w:r>
      <w:r>
        <w:t xml:space="preserve"> </w:t>
      </w:r>
      <w:r>
        <w:t xml:space="preserve">在出清结构中，中小连锁和单体药店占比高达84.5%，而A股8家上市连锁药店中，2025年已有6家实现净利润同比修复，行业分化态势显著。</w:t>
      </w:r>
      <w:r>
        <w:rPr>
          <w:vertAlign w:val="superscript"/>
        </w:rPr>
        <w:footnoteReference w:id="159"/>
      </w:r>
    </w:p>
    <w:p>
      <w:pPr>
        <w:pStyle w:val="BodyText"/>
      </w:pPr>
      <w:r>
        <w:t xml:space="preserve">头部连锁并未因行业寒冬停止扩张，而是调整了扩张模式。2024年，老百姓大药房计划新增1,000家门店，以加盟和老店转加盟为主；国大药房战略性关闭1,270余家直营门店后转向”效益优先”；益丰药房、大参林、一心堂等亦放缓直营扩张，转向存量优化与轻资产加盟。</w:t>
      </w:r>
      <w:r>
        <w:rPr>
          <w:vertAlign w:val="superscript"/>
        </w:rPr>
        <w:footnoteReference w:id="160"/>
      </w:r>
      <w:r>
        <w:t xml:space="preserve"> </w:t>
      </w:r>
      <w:r>
        <w:t xml:space="preserve">2024年全年，药品零售前10位企业销售额达1,504亿元，占全国市场份额23.1%，前100位占比38.0%，头部集中度仍在提升。</w:t>
      </w:r>
      <w:r>
        <w:rPr>
          <w:vertAlign w:val="superscript"/>
        </w:rPr>
        <w:footnoteReference w:id="161"/>
      </w:r>
    </w:p>
    <w:p>
      <w:pPr>
        <w:pStyle w:val="BodyText"/>
      </w:pPr>
      <w:r>
        <w:t xml:space="preserve">下表从六个维度对政策组合的行业影响进行系统评估。需要指出的是，表中各项影响并非孤立存在，而是相互强化：闭店潮释放的市场空间被头部连锁吸收，连锁化率的提升又加速了数字化转型投资的集中，最终形成”强者愈强、弱者出局”的马太效应。</w:t>
      </w:r>
    </w:p>
    <w:p>
      <w:pPr>
        <w:pStyle w:val="BodyText"/>
      </w:pPr>
      <w:r>
        <w:rPr>
          <w:b/>
          <w:bCs/>
        </w:rPr>
        <w:t xml:space="preserve">表8-1 山西省药品零售政策组合行业影响评估矩阵</w:t>
      </w:r>
    </w:p>
    <w:tbl>
      <w:tblPr>
        <w:tblStyle w:val="Table"/>
        <w:tblW w:type="pct" w:w="5000"/>
        <w:jc w:val="start"/>
        <w:tblLayout w:type="fixed"/>
        <w:tblLook w:firstRow="1" w:lastRow="0" w:firstColumn="0" w:lastColumn="0" w:noHBand="0" w:noVBand="0" w:val="0020"/>
      </w:tblPr>
      <w:tblGrid>
        <w:gridCol w:w="1218"/>
        <w:gridCol w:w="1218"/>
        <w:gridCol w:w="1523"/>
        <w:gridCol w:w="1523"/>
        <w:gridCol w:w="1218"/>
        <w:gridCol w:w="1218"/>
      </w:tblGrid>
      <w:tr>
        <w:trPr>
          <w:tblHeader w:val="true"/>
        </w:trPr>
        <w:tc>
          <w:tcPr/>
          <w:p>
            <w:pPr>
              <w:pStyle w:val="Compact"/>
              <w:jc w:val="left"/>
            </w:pPr>
            <w:r>
              <w:t xml:space="preserve">影响维度</w:t>
            </w:r>
          </w:p>
        </w:tc>
        <w:tc>
          <w:tcPr/>
          <w:p>
            <w:pPr>
              <w:pStyle w:val="Compact"/>
              <w:jc w:val="left"/>
            </w:pPr>
            <w:r>
              <w:t xml:space="preserve">核心指标（2024—2025年）</w:t>
            </w:r>
          </w:p>
        </w:tc>
        <w:tc>
          <w:tcPr/>
          <w:p>
            <w:pPr>
              <w:pStyle w:val="Compact"/>
              <w:jc w:val="center"/>
            </w:pPr>
            <w:r>
              <w:t xml:space="preserve">影响方向</w:t>
            </w:r>
          </w:p>
        </w:tc>
        <w:tc>
          <w:tcPr/>
          <w:p>
            <w:pPr>
              <w:pStyle w:val="Compact"/>
              <w:jc w:val="center"/>
            </w:pPr>
            <w:r>
              <w:t xml:space="preserve">影响强度</w:t>
            </w:r>
          </w:p>
        </w:tc>
        <w:tc>
          <w:tcPr/>
          <w:p>
            <w:pPr>
              <w:pStyle w:val="Compact"/>
              <w:jc w:val="left"/>
            </w:pPr>
            <w:r>
              <w:t xml:space="preserve">政策驱动因素</w:t>
            </w:r>
          </w:p>
        </w:tc>
        <w:tc>
          <w:tcPr/>
          <w:p>
            <w:pPr>
              <w:pStyle w:val="Compact"/>
              <w:jc w:val="left"/>
            </w:pPr>
            <w:r>
              <w:t xml:space="preserve">关键风险点</w:t>
            </w:r>
          </w:p>
        </w:tc>
      </w:tr>
      <w:tr>
        <w:tc>
          <w:tcPr/>
          <w:p>
            <w:pPr>
              <w:pStyle w:val="Compact"/>
              <w:jc w:val="left"/>
            </w:pPr>
            <w:r>
              <w:t xml:space="preserve">行业总量</w:t>
            </w:r>
          </w:p>
        </w:tc>
        <w:tc>
          <w:tcPr/>
          <w:p>
            <w:pPr>
              <w:pStyle w:val="Compact"/>
              <w:jc w:val="left"/>
            </w:pPr>
            <w:r>
              <w:t xml:space="preserve">全国药店从70万家向60万家收缩；山西连锁率从44.68%向55%—60%跃升</w:t>
            </w:r>
          </w:p>
        </w:tc>
        <w:tc>
          <w:tcPr/>
          <w:p>
            <w:pPr>
              <w:pStyle w:val="Compact"/>
              <w:jc w:val="center"/>
            </w:pPr>
            <w:r>
              <w:t xml:space="preserve">收缩+重组</w:t>
            </w:r>
          </w:p>
        </w:tc>
        <w:tc>
          <w:tcPr/>
          <w:p>
            <w:pPr>
              <w:pStyle w:val="Compact"/>
              <w:jc w:val="center"/>
            </w:pPr>
            <w:r>
              <w:t xml:space="preserve">★★★★★</w:t>
            </w:r>
          </w:p>
        </w:tc>
        <w:tc>
          <w:tcPr/>
          <w:p>
            <w:pPr>
              <w:pStyle w:val="Compact"/>
              <w:jc w:val="left"/>
            </w:pPr>
            <w:r>
              <w:t xml:space="preserve">10家连锁门槛；许可证不达标撤销</w:t>
            </w:r>
          </w:p>
        </w:tc>
        <w:tc>
          <w:tcPr/>
          <w:p>
            <w:pPr>
              <w:pStyle w:val="Compact"/>
              <w:jc w:val="left"/>
            </w:pPr>
            <w:r>
              <w:t xml:space="preserve">农村市场短期覆盖缺口</w:t>
            </w:r>
          </w:p>
        </w:tc>
      </w:tr>
      <w:tr>
        <w:tc>
          <w:tcPr/>
          <w:p>
            <w:pPr>
              <w:pStyle w:val="Compact"/>
              <w:jc w:val="left"/>
            </w:pPr>
            <w:r>
              <w:t xml:space="preserve">单体药店生存</w:t>
            </w:r>
          </w:p>
        </w:tc>
        <w:tc>
          <w:tcPr/>
          <w:p>
            <w:pPr>
              <w:pStyle w:val="Compact"/>
              <w:jc w:val="left"/>
            </w:pPr>
            <w:r>
              <w:t xml:space="preserve">预计未来3—5年单体药店减少30%—40%；执业药师缺口55万—60万</w:t>
            </w:r>
          </w:p>
        </w:tc>
        <w:tc>
          <w:tcPr/>
          <w:p>
            <w:pPr>
              <w:pStyle w:val="Compact"/>
              <w:jc w:val="center"/>
            </w:pPr>
            <w:r>
              <w:t xml:space="preserve">负面承压</w:t>
            </w:r>
          </w:p>
        </w:tc>
        <w:tc>
          <w:tcPr/>
          <w:p>
            <w:pPr>
              <w:pStyle w:val="Compact"/>
              <w:jc w:val="center"/>
            </w:pPr>
            <w:r>
              <w:t xml:space="preserve">★★★★☆</w:t>
            </w:r>
          </w:p>
        </w:tc>
        <w:tc>
          <w:tcPr/>
          <w:p>
            <w:pPr>
              <w:pStyle w:val="Compact"/>
              <w:jc w:val="left"/>
            </w:pPr>
            <w:r>
              <w:t xml:space="preserve">面积门槛70㎡；药师刚性配备；统一配送</w:t>
            </w:r>
          </w:p>
        </w:tc>
        <w:tc>
          <w:tcPr/>
          <w:p>
            <w:pPr>
              <w:pStyle w:val="Compact"/>
              <w:jc w:val="left"/>
            </w:pPr>
            <w:r>
              <w:t xml:space="preserve">挂证回潮；非法渠道购进</w:t>
            </w:r>
          </w:p>
        </w:tc>
      </w:tr>
      <w:tr>
        <w:tc>
          <w:tcPr/>
          <w:p>
            <w:pPr>
              <w:pStyle w:val="Compact"/>
              <w:jc w:val="left"/>
            </w:pPr>
            <w:r>
              <w:t xml:space="preserve">头部连锁扩张</w:t>
            </w:r>
          </w:p>
        </w:tc>
        <w:tc>
          <w:tcPr/>
          <w:p>
            <w:pPr>
              <w:pStyle w:val="Compact"/>
              <w:jc w:val="left"/>
            </w:pPr>
            <w:r>
              <w:t xml:space="preserve">前十强市占率23.1%→预计30%以上；并购案例年均增长25%</w:t>
            </w:r>
          </w:p>
        </w:tc>
        <w:tc>
          <w:tcPr/>
          <w:p>
            <w:pPr>
              <w:pStyle w:val="Compact"/>
              <w:jc w:val="center"/>
            </w:pPr>
            <w:r>
              <w:t xml:space="preserve">正向利好</w:t>
            </w:r>
          </w:p>
        </w:tc>
        <w:tc>
          <w:tcPr/>
          <w:p>
            <w:pPr>
              <w:pStyle w:val="Compact"/>
              <w:jc w:val="center"/>
            </w:pPr>
            <w:r>
              <w:t xml:space="preserve">★★★★★</w:t>
            </w:r>
          </w:p>
        </w:tc>
        <w:tc>
          <w:tcPr/>
          <w:p>
            <w:pPr>
              <w:pStyle w:val="Compact"/>
              <w:jc w:val="left"/>
            </w:pPr>
            <w:r>
              <w:t xml:space="preserve">收购兼并不暂停经营；跨省配送中心；批零一体化</w:t>
            </w:r>
          </w:p>
        </w:tc>
        <w:tc>
          <w:tcPr/>
          <w:p>
            <w:pPr>
              <w:pStyle w:val="Compact"/>
              <w:jc w:val="left"/>
            </w:pPr>
            <w:r>
              <w:t xml:space="preserve">跨省监管标准不一</w:t>
            </w:r>
          </w:p>
        </w:tc>
      </w:tr>
      <w:tr>
        <w:tc>
          <w:tcPr/>
          <w:p>
            <w:pPr>
              <w:pStyle w:val="Compact"/>
              <w:jc w:val="left"/>
            </w:pPr>
            <w:r>
              <w:t xml:space="preserve">执业药师配置</w:t>
            </w:r>
          </w:p>
        </w:tc>
        <w:tc>
          <w:tcPr/>
          <w:p>
            <w:pPr>
              <w:pStyle w:val="Compact"/>
              <w:jc w:val="left"/>
            </w:pPr>
            <w:r>
              <w:t xml:space="preserve">全国注册83.3万人；缺口约55万—60万；远程审方降低人力成本15%—30%</w:t>
            </w:r>
          </w:p>
        </w:tc>
        <w:tc>
          <w:tcPr/>
          <w:p>
            <w:pPr>
              <w:pStyle w:val="Compact"/>
              <w:jc w:val="center"/>
            </w:pPr>
            <w:r>
              <w:t xml:space="preserve">结构性缓解</w:t>
            </w:r>
          </w:p>
        </w:tc>
        <w:tc>
          <w:tcPr/>
          <w:p>
            <w:pPr>
              <w:pStyle w:val="Compact"/>
              <w:jc w:val="center"/>
            </w:pPr>
            <w:r>
              <w:t xml:space="preserve">★★★★☆</w:t>
            </w:r>
          </w:p>
        </w:tc>
        <w:tc>
          <w:tcPr/>
          <w:p>
            <w:pPr>
              <w:pStyle w:val="Compact"/>
              <w:jc w:val="left"/>
            </w:pPr>
            <w:r>
              <w:t xml:space="preserve">远程药学服务部≥2人；差异化配备过渡期2025年底结束</w:t>
            </w:r>
          </w:p>
        </w:tc>
        <w:tc>
          <w:tcPr/>
          <w:p>
            <w:pPr>
              <w:pStyle w:val="Compact"/>
              <w:jc w:val="left"/>
            </w:pPr>
            <w:r>
              <w:t xml:space="preserve">偏远地区配备难；</w:t>
            </w:r>
            <w:r>
              <w:t xml:space="preserve">“</w:t>
            </w:r>
            <w:r>
              <w:t xml:space="preserve">不得取代驻店</w:t>
            </w:r>
            <w:r>
              <w:t xml:space="preserve">”</w:t>
            </w:r>
            <w:r>
              <w:t xml:space="preserve">限制效用</w:t>
            </w:r>
          </w:p>
        </w:tc>
      </w:tr>
      <w:tr>
        <w:tc>
          <w:tcPr/>
          <w:p>
            <w:pPr>
              <w:pStyle w:val="Compact"/>
              <w:jc w:val="left"/>
            </w:pPr>
            <w:r>
              <w:t xml:space="preserve">便民可及性</w:t>
            </w:r>
          </w:p>
        </w:tc>
        <w:tc>
          <w:tcPr/>
          <w:p>
            <w:pPr>
              <w:pStyle w:val="Compact"/>
              <w:jc w:val="left"/>
            </w:pPr>
            <w:r>
              <w:t xml:space="preserve">自助售药机30秒取药；O2O规模487亿元（+31.3%）；智慧药房试点扩围</w:t>
            </w:r>
          </w:p>
        </w:tc>
        <w:tc>
          <w:tcPr/>
          <w:p>
            <w:pPr>
              <w:pStyle w:val="Compact"/>
              <w:jc w:val="center"/>
            </w:pPr>
            <w:r>
              <w:t xml:space="preserve">正向提升</w:t>
            </w:r>
          </w:p>
        </w:tc>
        <w:tc>
          <w:tcPr/>
          <w:p>
            <w:pPr>
              <w:pStyle w:val="Compact"/>
              <w:jc w:val="center"/>
            </w:pPr>
            <w:r>
              <w:t xml:space="preserve">★★★☆☆</w:t>
            </w:r>
          </w:p>
        </w:tc>
        <w:tc>
          <w:tcPr/>
          <w:p>
            <w:pPr>
              <w:pStyle w:val="Compact"/>
              <w:jc w:val="left"/>
            </w:pPr>
            <w:r>
              <w:t xml:space="preserve">渠道创新放宽；乙类OTC告知承诺制；药食同源开架</w:t>
            </w:r>
          </w:p>
        </w:tc>
        <w:tc>
          <w:tcPr/>
          <w:p>
            <w:pPr>
              <w:pStyle w:val="Compact"/>
              <w:jc w:val="left"/>
            </w:pPr>
            <w:r>
              <w:t xml:space="preserve">智慧药房医保结算未打通；处方药销售合规争议</w:t>
            </w:r>
          </w:p>
        </w:tc>
      </w:tr>
      <w:tr>
        <w:tc>
          <w:tcPr/>
          <w:p>
            <w:pPr>
              <w:pStyle w:val="Compact"/>
              <w:jc w:val="left"/>
            </w:pPr>
            <w:r>
              <w:t xml:space="preserve">数字化渗透</w:t>
            </w:r>
          </w:p>
        </w:tc>
        <w:tc>
          <w:tcPr/>
          <w:p>
            <w:pPr>
              <w:pStyle w:val="Compact"/>
              <w:jc w:val="left"/>
            </w:pPr>
            <w:r>
              <w:t xml:space="preserve">追溯码扫码准确率99.81%；电子处方普及率超60%；O2O门店覆盖率80%+</w:t>
            </w:r>
          </w:p>
        </w:tc>
        <w:tc>
          <w:tcPr/>
          <w:p>
            <w:pPr>
              <w:pStyle w:val="Compact"/>
              <w:jc w:val="center"/>
            </w:pPr>
            <w:r>
              <w:t xml:space="preserve">加速深化</w:t>
            </w:r>
          </w:p>
        </w:tc>
        <w:tc>
          <w:tcPr/>
          <w:p>
            <w:pPr>
              <w:pStyle w:val="Compact"/>
              <w:jc w:val="center"/>
            </w:pPr>
            <w:r>
              <w:t xml:space="preserve">★★★★★</w:t>
            </w:r>
          </w:p>
        </w:tc>
        <w:tc>
          <w:tcPr/>
          <w:p>
            <w:pPr>
              <w:pStyle w:val="Compact"/>
              <w:jc w:val="left"/>
            </w:pPr>
            <w:r>
              <w:t xml:space="preserve">全品种追溯码采集；网络销售实体依托；电子处方流转</w:t>
            </w:r>
          </w:p>
        </w:tc>
        <w:tc>
          <w:tcPr/>
          <w:p>
            <w:pPr>
              <w:pStyle w:val="Compact"/>
              <w:jc w:val="left"/>
            </w:pPr>
            <w:r>
              <w:t xml:space="preserve">中小药店IT投入能力不足</w:t>
            </w:r>
          </w:p>
        </w:tc>
      </w:tr>
    </w:tbl>
    <w:p>
      <w:pPr>
        <w:pStyle w:val="BodyText"/>
      </w:pPr>
      <w:r>
        <w:t xml:space="preserve">上表揭示的政策逻辑可概括为”有放有收、以收促放”。在”收”的维度，连锁门槛抬高、执业药师配备趋严、网络销售实体锚定，压缩了低效单体店和纯电商的生存空间；在”放”的维度，智慧药房、药食同源开架、乙类OTC告知承诺制，为合规经营者和创新业态开辟了通道。政策组合的净效应是行业总规模的适度收缩与服务结构的优化升级，但农村地区可能因单体店退出而面临阶段性”空心化”风险，这一风险将在8.2.3节展开分析。</w:t>
      </w:r>
    </w:p>
    <w:bookmarkEnd w:id="114"/>
    <w:bookmarkStart w:id="115" w:name="山西连锁率跃升与全国集中度展望"/>
    <w:p>
      <w:pPr>
        <w:pStyle w:val="Heading3"/>
      </w:pPr>
      <w:r>
        <w:t xml:space="preserve">8.1.2 山西连锁率跃升与全国集中度展望</w:t>
      </w:r>
    </w:p>
    <w:p>
      <w:pPr>
        <w:pStyle w:val="FirstParagraph"/>
      </w:pPr>
      <w:r>
        <w:t xml:space="preserve">山西省药品零售连锁率约44.68%，低于全国57.04%的平均水平约12个百分点，更与商务部”十四五”目标70%存在超过25个百分点的差距。</w:t>
      </w:r>
      <w:r>
        <w:rPr>
          <w:vertAlign w:val="superscript"/>
        </w:rPr>
        <w:footnoteReference w:id="6162"/>
      </w:r>
      <w:r>
        <w:t xml:space="preserve"> </w:t>
      </w:r>
      <w:r>
        <w:t xml:space="preserve">10家门店的连锁准入门槛，在山西市场产生的边际效应远大于连锁率已接近饱和的省份。参照山东、北京等地提高连锁门槛后的经验，山西连锁率预计在办法施行后2至3年内由44.68%向55%—60%区间跃升，逐步接近全国均值。</w:t>
      </w:r>
    </w:p>
    <w:p>
      <w:pPr>
        <w:pStyle w:val="BodyText"/>
      </w:pPr>
      <w:r>
        <w:t xml:space="preserve">从全国视角观察，连锁率提升的驱动力已不仅来自政策强制，更来自市场自发出清。2024年连锁率约为57%，距70%目标仍有约13个百分点的差距。若按当前出清速度推算，未来3至5年全国药店连锁率可能达到70%以上，接近美国（71%）和日本（前十强73.7%）的市场结构水平。</w:t>
      </w:r>
      <w:r>
        <w:rPr>
          <w:vertAlign w:val="superscript"/>
        </w:rPr>
        <w:footnoteReference w:id="163"/>
      </w:r>
      <w:r>
        <w:t xml:space="preserve"> </w:t>
      </w:r>
      <w:r>
        <w:t xml:space="preserve">但需注意的是，高连锁率并不必然等同于高市场集中度——美国TOP3连锁市占率达85%，而中国前十强仅为23.1%，这意味着即使连锁率达标，行业仍需经历第二轮”大连锁整合中小连锁”的集中过程。</w:t>
      </w:r>
    </w:p>
    <w:bookmarkEnd w:id="115"/>
    <w:bookmarkStart w:id="116" w:name="数字化转型o2o与智慧药房的双轮驱动"/>
    <w:p>
      <w:pPr>
        <w:pStyle w:val="Heading3"/>
      </w:pPr>
      <w:r>
        <w:t xml:space="preserve">8.1.3 数字化转型：O2O与智慧药房的双轮驱动</w:t>
      </w:r>
    </w:p>
    <w:p>
      <w:pPr>
        <w:pStyle w:val="FirstParagraph"/>
      </w:pPr>
      <w:r>
        <w:t xml:space="preserve">在政策收紧与市场竞争的双重挤压下，数字化转型已从”可选项”变为”生存必需”。米内网预测数据显示，2024年药店即时零售（O2O）销售规模达487亿元，较2023年增长31.3%，远高于实体零售药店约1%的增速。</w:t>
      </w:r>
      <w:r>
        <w:rPr>
          <w:vertAlign w:val="superscript"/>
        </w:rPr>
        <w:footnoteReference w:id="164"/>
      </w:r>
      <w:r>
        <w:t xml:space="preserve"> </w:t>
      </w:r>
      <w:r>
        <w:t xml:space="preserve">头部连锁的O2O渗透率已处于高位：大参林O2O上线率80.38%，健之佳O2O门店占比91.19%，益丰药房O2O直营门店超1万家。</w:t>
      </w:r>
      <w:r>
        <w:rPr>
          <w:vertAlign w:val="superscript"/>
        </w:rPr>
        <w:footnoteReference w:id="165"/>
      </w:r>
      <w:r>
        <w:t xml:space="preserve"> </w:t>
      </w:r>
      <w:r>
        <w:t xml:space="preserve">山西省政策要求网络销售必须依托实体门店，发货地址须与许可证载明地址一致，这一”实体锚定”规则与头部连锁以门店为履约单元的O2O模式天然契合，合规过渡成本相对有限。</w:t>
      </w:r>
    </w:p>
    <w:p>
      <w:pPr>
        <w:pStyle w:val="BodyText"/>
      </w:pPr>
      <w:r>
        <w:t xml:space="preserve">智慧药房（柜）和追溯码系统构成数字化转型的另一主轴。山西省办法明确支持在机场、车站、社区、商超等场所设置智慧药房（柜），功能涵盖自动拣选、智能温控、电子支付、远程审方和互联网诊疗对接。</w:t>
      </w:r>
      <w:fldSimple w:instr="NOTEREF _Ref_Footnote_10 \h \f">
        <w:r>
          <w:rPr>
            <w:vertAlign w:val="superscript"/>
          </w:rPr>
          <w:t>10</w:t>
        </w:r>
      </w:fldSimple>
      <w:r>
        <w:t xml:space="preserve"> </w:t>
      </w:r>
      <w:r>
        <w:t xml:space="preserve">九州通等批发企业已推出”三码合一”追溯系统，扫码准确率达99.81%。</w:t>
      </w:r>
      <w:r>
        <w:rPr>
          <w:vertAlign w:val="superscript"/>
        </w:rPr>
        <w:footnoteReference w:id="166"/>
      </w:r>
      <w:r>
        <w:t xml:space="preserve"> </w:t>
      </w:r>
      <w:r>
        <w:t xml:space="preserve">但智慧药房从”政策允许”到”商业可行”之间仍存在瓶颈：医保结算接入程度直接决定其服务人群范围。目前湖南永州、上海浦东等地已实现医保自助药房结算试点，但全国层面尚未形成统一的医保结算接口标准，非试点地区的智慧药房仅能销售自费药品，商业价值大打折扣。</w:t>
      </w:r>
      <w:r>
        <w:rPr>
          <w:vertAlign w:val="superscript"/>
        </w:rPr>
        <w:footnoteReference w:id="167"/>
      </w:r>
    </w:p>
    <w:bookmarkEnd w:id="116"/>
    <w:bookmarkEnd w:id="117"/>
    <w:bookmarkStart w:id="122" w:name="法律风险清单"/>
    <w:p>
      <w:pPr>
        <w:pStyle w:val="Heading2"/>
      </w:pPr>
      <w:r>
        <w:t xml:space="preserve">8.2 法律风险清单</w:t>
      </w:r>
    </w:p>
    <w:bookmarkStart w:id="118" w:name="智慧药房售处方药的上位法冲突风险高风险"/>
    <w:p>
      <w:pPr>
        <w:pStyle w:val="Heading3"/>
      </w:pPr>
      <w:r>
        <w:t xml:space="preserve">8.2.1 智慧药房售处方药的上位法冲突风险（🔴高风险）</w:t>
      </w:r>
    </w:p>
    <w:p>
      <w:pPr>
        <w:pStyle w:val="FirstParagraph"/>
      </w:pPr>
      <w:r>
        <w:t xml:space="preserve">山西省办法将”智慧药房（柜）</w:t>
      </w:r>
      <w:r>
        <w:t xml:space="preserve">“</w:t>
      </w:r>
      <w:r>
        <w:t xml:space="preserve">与</w:t>
      </w:r>
      <w:r>
        <w:t xml:space="preserve">”</w:t>
      </w:r>
      <w:r>
        <w:t xml:space="preserve">自助售药机”进行严格概念区分：后者仅限销售乙类非处方药，前者可销售处方药，但须具备互联网诊疗和远程药学服务能力。</w:t>
      </w:r>
      <w:fldSimple w:instr="NOTEREF _Ref_Footnote_10 \h \f">
        <w:r>
          <w:rPr>
            <w:vertAlign w:val="superscript"/>
          </w:rPr>
          <w:t>10</w:t>
        </w:r>
      </w:fldSimple>
      <w:r>
        <w:t xml:space="preserve"> </w:t>
      </w:r>
      <w:r>
        <w:t xml:space="preserve">这一创新的核心法律风险在于与国家药监局2024年第48号公告的潜在冲突。48号公告第7条明确规定”自助售药机不得销售甲类非处方药和处方药”，但并未对”智慧药房（柜）“作出定义或规范。</w:t>
      </w:r>
      <w:fldSimple w:instr="NOTEREF _Ref_Footnote_4 \h \f">
        <w:r>
          <w:rPr>
            <w:vertAlign w:val="superscript"/>
          </w:rPr>
          <w:t>4</w:t>
        </w:r>
      </w:fldSimple>
    </w:p>
    <w:p>
      <w:pPr>
        <w:pStyle w:val="BodyText"/>
      </w:pPr>
      <w:r>
        <w:t xml:space="preserve">从字面解释看，山西的区分具有逻辑合理性：智慧药房（柜）具备远程审方、专人管理、互联网诊疗对接三重属性，更接近”配备远程药师的实体药店延伸终端”。同时，办法第六十二条保留”国家有新规定的，依国家规定”的安全阀条款，为后续上位法调整预留了空间。</w:t>
      </w:r>
      <w:fldSimple w:instr="NOTEREF _Ref_Footnote_10 \h \f">
        <w:r>
          <w:rPr>
            <w:vertAlign w:val="superscript"/>
          </w:rPr>
          <w:t>10</w:t>
        </w:r>
      </w:fldSimple>
      <w:r>
        <w:t xml:space="preserve"> </w:t>
      </w:r>
      <w:r>
        <w:t xml:space="preserve">然而，从监管实质精神审视，智慧药房的核心运作逻辑仍是”自动调配+远程审方”，患者与药师之间不存在面对面交流，与自助售药机在”缺乏面对面药学服务”上具有同质性。若国家药监局后续明确禁止任何形式的自动/半自动设备销售处方药，山西地方政策可能面临”下位法违反上位法”的质疑，已投入建设的企业亦将面临整改损失。</w:t>
      </w:r>
    </w:p>
    <w:p>
      <w:pPr>
        <w:pStyle w:val="BodyText"/>
      </w:pPr>
      <w:r>
        <w:rPr>
          <w:b/>
          <w:bCs/>
        </w:rPr>
        <w:t xml:space="preserve">案例：广东惠州燕记药店非法渠道购进与网络销售案</w:t>
      </w:r>
    </w:p>
    <w:p>
      <w:pPr>
        <w:pStyle w:val="BodyText"/>
      </w:pPr>
      <w:r>
        <w:t xml:space="preserve">2025年6月，国家药监局公布”清源”行动典型案例：广东省惠州市惠东县稔山镇燕记药店于2024年期间从非法渠道购进药品、未经批准变更仓储许可、未遵守GSP经营药品。惠州市市场监管局依据《药品管理法》第一百二十九条、第一百一十五条，对其处以没收涉案药品、罚款130万元、责令关闭私设仓库、吊销《药品经营许可证》的行政处罚。</w:t>
      </w:r>
      <w:fldSimple w:instr="NOTEREF _Ref_Footnote_149 \h \f">
        <w:r>
          <w:rPr>
            <w:vertAlign w:val="superscript"/>
          </w:rPr>
          <w:t>149</w:t>
        </w:r>
      </w:fldSimple>
      <w:r>
        <w:t xml:space="preserve"> </w:t>
      </w:r>
      <w:r>
        <w:t xml:space="preserve">该案揭示了药店合规风险向”组合惩戒”升级的趋势：监管部门同时适用财产罚、行为罚和资格罚，企业主体实质退出市场。燕记药店同时涉及”非法渠道购进”和”网络销售”两个高频处罚领域，与当前多省推行的追溯码系统、网络销售监测平台形成直接对应——在数字化监管手段日益完善的背景下，传统合规灰色空间正在快速收窄。</w:t>
      </w:r>
    </w:p>
    <w:bookmarkEnd w:id="118"/>
    <w:bookmarkStart w:id="119" w:name="药食同源属性界定的监管灰色地带中风险"/>
    <w:p>
      <w:pPr>
        <w:pStyle w:val="Heading3"/>
      </w:pPr>
      <w:r>
        <w:t xml:space="preserve">8.2.2 药食同源属性界定的监管灰色地带（🟡中风险）</w:t>
      </w:r>
    </w:p>
    <w:p>
      <w:pPr>
        <w:pStyle w:val="FirstParagraph"/>
      </w:pPr>
      <w:r>
        <w:t xml:space="preserve">山西省办法允许药店”可不凭处方开架销售非临床配方使用的药食同源单味定型包装中药饮片”，且仅销售此类产品时可不配备中药饮片斗柜。</w:t>
      </w:r>
      <w:fldSimple w:instr="NOTEREF _Ref_Footnote_10 \h \f">
        <w:r>
          <w:rPr>
            <w:vertAlign w:val="superscript"/>
          </w:rPr>
          <w:t>10</w:t>
        </w:r>
      </w:fldSimple>
      <w:r>
        <w:t xml:space="preserve"> </w:t>
      </w:r>
      <w:r>
        <w:t xml:space="preserve">这一政策的法律风险在于”非临床配方使用”缺乏明确的界定标准。药食同源目录中的部分品种（如人参、当归、黄芪等）兼具食品与中药材双重属性，若消费者自行大量购买用于煎煮调理，其使用场景实质上已接近临床配方用药，但监管属性仍按食品或免处方药品管理。</w:t>
      </w:r>
    </w:p>
    <w:p>
      <w:pPr>
        <w:pStyle w:val="BodyText"/>
      </w:pPr>
      <w:r>
        <w:t xml:space="preserve">从执法实践看，药食同源产品的标签管理将成为争议焦点。若产品标签标明功能主治或适应症，则其销售行为可能被认定为变相药品宣传；若不标明，则消费者难以区分食疗与药用边界。2024年以来，国家药监局已加大对”以食品之名行药品之实”行为的打击力度，但药食同源目录品种在零售场景下的属性认定仍缺乏统一解释。</w:t>
      </w:r>
      <w:r>
        <w:rPr>
          <w:vertAlign w:val="superscript"/>
        </w:rPr>
        <w:footnoteReference w:id="168"/>
      </w:r>
      <w:r>
        <w:t xml:space="preserve"> </w:t>
      </w:r>
      <w:r>
        <w:t xml:space="preserve">对药店而言，这一灰色地带意味着执法标准的不确定性：同一品种在不同地区的监管认定可能存在差异，导致跨区域经营的连锁企业面临”政策拼图”式合规成本。</w:t>
      </w:r>
    </w:p>
    <w:bookmarkEnd w:id="119"/>
    <w:bookmarkStart w:id="120" w:name="连锁门槛10家导致农村药品可及性下降风险中风险"/>
    <w:p>
      <w:pPr>
        <w:pStyle w:val="Heading3"/>
      </w:pPr>
      <w:r>
        <w:t xml:space="preserve">8.2.3 连锁门槛10家导致农村药品可及性下降风险（🟡中风险）</w:t>
      </w:r>
    </w:p>
    <w:p>
      <w:pPr>
        <w:pStyle w:val="FirstParagraph"/>
      </w:pPr>
      <w:r>
        <w:t xml:space="preserve">10家门店的连锁准入门槛与单体药店70平方米的面积要求，对农村地区药品可及性构成潜在威胁。大型连锁因坪效考量倾向于城区布局，乡镇和农村地区因客单价低、配送成本高而难以吸引连锁投资。若单体药店因无法达标而退出，而连锁企业又未及时填补空白，农村地区可能出现”买药难”的结构性矛盾。</w:t>
      </w:r>
    </w:p>
    <w:p>
      <w:pPr>
        <w:pStyle w:val="BodyText"/>
      </w:pPr>
      <w:r>
        <w:t xml:space="preserve">山西省办法设置了部分缓冲机制：农村乡镇以下单体药店面积门槛降至40平方米，仅经营乙类非处方药可降至20平方米，药食同源销售放宽亦降低了中药经营成本。</w:t>
      </w:r>
      <w:fldSimple w:instr="NOTEREF _Ref_Footnote_10 \h \f">
        <w:r>
          <w:rPr>
            <w:vertAlign w:val="superscript"/>
          </w:rPr>
          <w:t>10</w:t>
        </w:r>
      </w:fldSimple>
      <w:r>
        <w:t xml:space="preserve"> </w:t>
      </w:r>
      <w:r>
        <w:t xml:space="preserve">但缓冲机制的效果取决于执行弹性。参照全国经验，内蒙古已有超过1,400家药店主动解除医保协议，山东青岛单月退出医保定点药店达358家，表明基层药店在多重压力下的退出意愿正在上升。</w:t>
      </w:r>
      <w:r>
        <w:rPr>
          <w:vertAlign w:val="superscript"/>
        </w:rPr>
        <w:footnoteReference w:id="169"/>
      </w:r>
      <w:r>
        <w:t xml:space="preserve"> </w:t>
      </w:r>
      <w:r>
        <w:t xml:space="preserve">农村药品可及性风险并非即时的法律违规风险，而是政策目标（集中度提升）与药品可及性目标之间的张力，需要通过差异化监管和远程药学服务加以平衡。</w:t>
      </w:r>
    </w:p>
    <w:bookmarkEnd w:id="120"/>
    <w:bookmarkStart w:id="121" w:name="远程审方系统故障或断电时的用药安全风险中风险"/>
    <w:p>
      <w:pPr>
        <w:pStyle w:val="Heading3"/>
      </w:pPr>
      <w:r>
        <w:t xml:space="preserve">8.2.4 远程审方系统故障或断电时的用药安全风险（🟡中风险）</w:t>
      </w:r>
    </w:p>
    <w:p>
      <w:pPr>
        <w:pStyle w:val="FirstParagraph"/>
      </w:pPr>
      <w:r>
        <w:t xml:space="preserve">山西省办法允许连锁总部设置远程药学服务部，配备不少于2名执业药师，作为门店执业药师不在岗期间的补充，但明确规定”不得取代驻店执业药师配备”，且”不得采用人工智能对处方药自动审方”。</w:t>
      </w:r>
      <w:fldSimple w:instr="NOTEREF _Ref_Footnote_10 \h \f">
        <w:r>
          <w:rPr>
            <w:vertAlign w:val="superscript"/>
          </w:rPr>
          <w:t>10</w:t>
        </w:r>
      </w:fldSimple>
      <w:r>
        <w:t xml:space="preserve"> </w:t>
      </w:r>
      <w:r>
        <w:t xml:space="preserve">2026年5月25日发布的《处方药网络零售合规指南》进一步收紧了审方要求，明确处方审核须由执业药师完成，日均审方量建议控制在300张以内，严禁AI替代人工审方。</w:t>
      </w:r>
      <w:r>
        <w:rPr>
          <w:vertAlign w:val="superscript"/>
        </w:rPr>
        <w:footnoteReference w:id="5"/>
      </w:r>
    </w:p>
    <w:p>
      <w:pPr>
        <w:pStyle w:val="BodyText"/>
      </w:pPr>
      <w:r>
        <w:t xml:space="preserve">远程审方系统的技术可靠性成为关键变量。在正常运行状态下，远程审方可有效缓解执业药师缺口，降低连锁企业人力成本约15%—30%。</w:t>
      </w:r>
      <w:r>
        <w:rPr>
          <w:vertAlign w:val="superscript"/>
        </w:rPr>
        <w:footnoteReference w:id="170"/>
      </w:r>
      <w:r>
        <w:t xml:space="preserve"> </w:t>
      </w:r>
      <w:r>
        <w:t xml:space="preserve">但一旦遭遇网络中断、系统故障或电力供应中断，远程审方链路将即刻失效。若门店同时无驻店执业药师在岗，则面临”无法审方即无法售药”的运营中断，或更危险的”违规售药”两难选择。2024年5月《北京商报》调查发现，某连锁药店在执业药师不在岗期间仍由从业药师销售处方药，门口提示牌形同虚设。</w:t>
      </w:r>
      <w:r>
        <w:rPr>
          <w:vertAlign w:val="superscript"/>
        </w:rPr>
        <w:footnoteReference w:id="171"/>
      </w:r>
      <w:r>
        <w:t xml:space="preserve"> </w:t>
      </w:r>
      <w:r>
        <w:t xml:space="preserve">这表明，技术系统的”形式合规”若缺乏驻店人员的”实质把关”，仍可能存在用药安全漏洞。</w:t>
      </w:r>
    </w:p>
    <w:bookmarkEnd w:id="121"/>
    <w:bookmarkEnd w:id="122"/>
    <w:bookmarkStart w:id="125" w:name="合规建议"/>
    <w:p>
      <w:pPr>
        <w:pStyle w:val="Heading2"/>
      </w:pPr>
      <w:r>
        <w:t xml:space="preserve">8.3 合规建议</w:t>
      </w:r>
    </w:p>
    <w:bookmarkStart w:id="123" w:name="对药品零售企业严守三大红线提前布局智慧药房"/>
    <w:p>
      <w:pPr>
        <w:pStyle w:val="Heading3"/>
      </w:pPr>
      <w:r>
        <w:t xml:space="preserve">8.3.1 对药品零售企业：严守三大红线，提前布局智慧药房</w:t>
      </w:r>
    </w:p>
    <w:p>
      <w:pPr>
        <w:pStyle w:val="FirstParagraph"/>
      </w:pPr>
      <w:r>
        <w:t xml:space="preserve">面对政策收紧与监管技术升级的双重压力，药品零售企业的合规策略应聚焦于三条不可突破的红线。</w:t>
      </w:r>
      <w:r>
        <w:rPr>
          <w:b/>
          <w:bCs/>
        </w:rPr>
        <w:t xml:space="preserve">第一是购进渠道红线</w:t>
      </w:r>
      <w:r>
        <w:t xml:space="preserve">。2024—2025年执法案例显示，非法渠道购进已成为处罚最重的领域，广东某案罚没近1,600万元并吊销许可证，惠州燕记药店被罚130万元并吊销许可证。</w:t>
      </w:r>
      <w:r>
        <w:rPr>
          <w:vertAlign w:val="superscript"/>
        </w:rPr>
        <w:footnoteReference w:id="148149"/>
      </w:r>
      <w:r>
        <w:t xml:space="preserve"> </w:t>
      </w:r>
      <w:r>
        <w:t xml:space="preserve">企业须建立供应商资质档案，确保随货同行单、发票、检验报告与实物一致，实现票账货款相符。</w:t>
      </w:r>
    </w:p>
    <w:p>
      <w:pPr>
        <w:pStyle w:val="BodyText"/>
      </w:pPr>
      <w:r>
        <w:rPr>
          <w:b/>
          <w:bCs/>
        </w:rPr>
        <w:t xml:space="preserve">第二是处方药审核红线</w:t>
      </w:r>
      <w:r>
        <w:t xml:space="preserve">。无论线上还是线下，销售处方药必须做到”处方来源真实、可靠、经审核后方可调配”。企业应建立处方审核双人复核机制，留存处方原件及审核记录至少5年，杜绝”代开处方”</w:t>
      </w:r>
      <w:r>
        <w:t xml:space="preserve">“</w:t>
      </w:r>
      <w:r>
        <w:t xml:space="preserve">先药后方</w:t>
      </w:r>
      <w:r>
        <w:t xml:space="preserve">”</w:t>
      </w:r>
      <w:r>
        <w:t xml:space="preserve">等违法行为。2025年以来，医保飞行检查与网络销售监测已将此类行为列为重点打击对象，违规成本已上升至十万乃至百万级。</w:t>
      </w:r>
      <w:r>
        <w:rPr>
          <w:vertAlign w:val="superscript"/>
        </w:rPr>
        <w:footnoteReference w:id="172"/>
      </w:r>
    </w:p>
    <w:p>
      <w:pPr>
        <w:pStyle w:val="BodyText"/>
      </w:pPr>
      <w:r>
        <w:rPr>
          <w:b/>
          <w:bCs/>
        </w:rPr>
        <w:t xml:space="preserve">第三是网络销售报告红线</w:t>
      </w:r>
      <w:r>
        <w:t xml:space="preserve">。从事网络销售的药店须在网站首页公示《药品经营许可证》及执业药师信息，并按规定向药监部门报告。2025年2月，江西某连锁药店井开区四店因通过京东、拼多多销售药品未按规定报告，逾期不改正后被罚款2万元，成为江西省”清源”行动首批典型案例。</w:t>
      </w:r>
      <w:fldSimple w:instr="NOTEREF _Ref_Footnote_150 \h \f">
        <w:r>
          <w:rPr>
            <w:vertAlign w:val="superscript"/>
          </w:rPr>
          <w:t>150</w:t>
        </w:r>
      </w:fldSimple>
    </w:p>
    <w:p>
      <w:pPr>
        <w:pStyle w:val="BodyText"/>
      </w:pPr>
      <w:r>
        <w:t xml:space="preserve">在业态布局层面，企业应优先投资智慧药房（柜）而非单纯的自助售药机。48号公告已将自助售药机销售范围严格限定为乙类OTC，而智慧药房（柜）在山西省政策框架下可销售处方药，且具备更强的数字化服务能力和医保结算接入潜力。</w:t>
      </w:r>
      <w:r>
        <w:rPr>
          <w:vertAlign w:val="superscript"/>
        </w:rPr>
        <w:footnoteReference w:id="410"/>
      </w:r>
      <w:r>
        <w:t xml:space="preserve"> </w:t>
      </w:r>
      <w:r>
        <w:t xml:space="preserve">企业须密切关注所在地区的医保电子处方中心建设和医保结算接口开放进展，智慧药房若无医保结算能力，其服务人群将大幅收窄至自费患者，商业模型难以成立。</w:t>
      </w:r>
    </w:p>
    <w:bookmarkEnd w:id="123"/>
    <w:bookmarkStart w:id="124" w:name="对监管部门统一标准界定概念建立协同机制"/>
    <w:p>
      <w:pPr>
        <w:pStyle w:val="Heading3"/>
      </w:pPr>
      <w:r>
        <w:t xml:space="preserve">8.3.2 对监管部门：统一标准、界定概念、建立协同机制</w:t>
      </w:r>
    </w:p>
    <w:p>
      <w:pPr>
        <w:pStyle w:val="FirstParagraph"/>
      </w:pPr>
      <w:r>
        <w:t xml:space="preserve">针对地方政策创新与国家规范之间的衔接缝隙，监管部门可从三个层面完善制度供给。</w:t>
      </w:r>
      <w:r>
        <w:rPr>
          <w:b/>
          <w:bCs/>
        </w:rPr>
        <w:t xml:space="preserve">第一，统一自动化售药设备的定义与分类</w:t>
      </w:r>
      <w:r>
        <w:t xml:space="preserve">。建议在48号公告或后续配套文件中，明确”智慧药房”</w:t>
      </w:r>
      <w:r>
        <w:t xml:space="preserve">“</w:t>
      </w:r>
      <w:r>
        <w:t xml:space="preserve">智慧药柜</w:t>
      </w:r>
      <w:r>
        <w:t xml:space="preserve">”</w:t>
      </w:r>
      <w:r>
        <w:t xml:space="preserve">“</w:t>
      </w:r>
      <w:r>
        <w:t xml:space="preserve">自助售药机</w:t>
      </w:r>
      <w:r>
        <w:t xml:space="preserve">”</w:t>
      </w:r>
      <w:r>
        <w:t xml:space="preserve">三类设施的技术标准、功能边界和适用场景，消除地方”概念区分”带来的规则碎片化。可参考浙江、安徽、上海等地已出台的地方标准（DB31/32/33/34系列），在国家层面整合形成统一的管理规范。</w:t>
      </w:r>
      <w:r>
        <w:rPr>
          <w:vertAlign w:val="superscript"/>
        </w:rPr>
        <w:footnoteReference w:id="173"/>
      </w:r>
    </w:p>
    <w:p>
      <w:pPr>
        <w:pStyle w:val="BodyText"/>
      </w:pPr>
      <w:r>
        <w:rPr>
          <w:b/>
          <w:bCs/>
        </w:rPr>
        <w:t xml:space="preserve">第二，出台药食同源”非临床配方使用”的界定标准</w:t>
      </w:r>
      <w:r>
        <w:t xml:space="preserve">。建议国家药监局联合国家卫健委、市场监管总局，对药食同源目录品种在零售场景下的属性认定作出解释：明确超出一定剂量、用于特定病症调理或超出正常食疗周期的购买行为，应纳入中药饮片管理范畴；同时建立药食同源产品标签规范，禁止在零售端标明功能主治，防止以食品之名行药品之实。</w:t>
      </w:r>
      <w:fldSimple w:instr="NOTEREF _Ref_Footnote_168 \h \f">
        <w:r>
          <w:rPr>
            <w:vertAlign w:val="superscript"/>
          </w:rPr>
          <w:t>168</w:t>
        </w:r>
      </w:fldSimple>
    </w:p>
    <w:p>
      <w:pPr>
        <w:pStyle w:val="BodyText"/>
      </w:pPr>
      <w:r>
        <w:rPr>
          <w:b/>
          <w:bCs/>
        </w:rPr>
        <w:t xml:space="preserve">第三，建立跨省监管信息共享机制</w:t>
      </w:r>
      <w:r>
        <w:t xml:space="preserve">。山西省办法允许连锁总部跨省设置配送中心，但跨省经营天然面临”注册地管不了、经营地难管”的体制障碍。建议在长三角”四省一市”监管协作备忘录的基础上，将检查结果互认、检查员资源共享、案件协查机制扩展至药品零售领域，降低连锁企业跨区域合规成本。</w:t>
      </w:r>
      <w:r>
        <w:rPr>
          <w:vertAlign w:val="superscript"/>
        </w:rPr>
        <w:footnoteReference w:id="174"/>
      </w:r>
      <w:r>
        <w:t xml:space="preserve"> </w:t>
      </w:r>
      <w:r>
        <w:t xml:space="preserve">同时，由国家药监局牵头制定统一的远程审方技术规范、电子处方对接标准和连锁企业开办标准，减少”一省一策”带来的合规负担。</w:t>
      </w:r>
    </w:p>
    <w:p>
      <w:r>
        <w:pict>
          <v:rect style="width:0;height:1.5pt" o:hralign="center" o:hrstd="t" o:hr="t"/>
        </w:pict>
      </w:r>
    </w:p>
    <w:p>
      <w:r>
        <w:pict>
          <v:rect style="width:0;height:1.5pt" o:hralign="center" o:hrstd="t" o:hr="t"/>
        </w:pict>
      </w:r>
    </w:p>
    <w:bookmarkEnd w:id="124"/>
    <w:bookmarkEnd w:id="125"/>
    <w:bookmarkStart w:id="137" w:name="未来趋势与政策建议"/>
    <w:p>
      <w:pPr>
        <w:pStyle w:val="Heading2"/>
      </w:pPr>
      <w:r>
        <w:t xml:space="preserve">9. 未来趋势与政策建议</w:t>
      </w:r>
    </w:p>
    <w:bookmarkStart w:id="132" w:name="未来趋势预测"/>
    <w:p>
      <w:pPr>
        <w:pStyle w:val="Heading3"/>
      </w:pPr>
      <w:r>
        <w:t xml:space="preserve">9.1 未来趋势预测</w:t>
      </w:r>
    </w:p>
    <w:bookmarkStart w:id="126" w:name="智慧监管ai监测云上巡查电子处方流转平台全国统一"/>
    <w:p>
      <w:pPr>
        <w:pStyle w:val="Heading4"/>
      </w:pPr>
      <w:r>
        <w:t xml:space="preserve">9.1.1 智慧监管：AI监测、云上巡查、电子处方流转平台全国统一</w:t>
      </w:r>
    </w:p>
    <w:p>
      <w:pPr>
        <w:pStyle w:val="FirstParagraph"/>
      </w:pPr>
      <w:r>
        <w:t xml:space="preserve">药品零售监管正经历从”人工现场检查”向”数据驱动智慧监管”的范式迁移。国家医保局等四部门要求，自2025年7月1日起，医保定点医药机构销售药品须扫码后方可医保结算；2026年1月1日起，所有医药机构实现药品追溯码全量采集上传。</w:t>
      </w:r>
      <w:r>
        <w:rPr>
          <w:vertAlign w:val="superscript"/>
        </w:rPr>
        <w:footnoteReference w:id="175"/>
      </w:r>
      <w:r>
        <w:t xml:space="preserve"> </w:t>
      </w:r>
      <w:r>
        <w:t xml:space="preserve">截至2025年3月，国家医保信息平台已累计归集追溯码273.09亿条，接入88.9万家定点医药机构，接入率95.6%。</w:t>
      </w:r>
      <w:r>
        <w:rPr>
          <w:vertAlign w:val="superscript"/>
        </w:rPr>
        <w:footnoteReference w:id="176"/>
      </w:r>
      <w:r>
        <w:t xml:space="preserve"> </w:t>
      </w:r>
      <w:r>
        <w:t xml:space="preserve">追溯码强制应用意味着零售药店每一盒药品从入库到销售均被纳入国家统一数据库，</w:t>
      </w:r>
      <w:r>
        <w:t xml:space="preserve">“</w:t>
      </w:r>
      <w:r>
        <w:t xml:space="preserve">回流药</w:t>
      </w:r>
      <w:r>
        <w:t xml:space="preserve">”</w:t>
      </w:r>
      <w:r>
        <w:t xml:space="preserve">串换、空刷套卡等违法行为可通过重复扫码记录被实时锁定。</w:t>
      </w:r>
    </w:p>
    <w:p>
      <w:pPr>
        <w:pStyle w:val="BodyText"/>
      </w:pPr>
      <w:r>
        <w:t xml:space="preserve">在智能监管层面，国家医保局2025年11月发布《关于进一步加强超量开药智能监管工作的通知》，部署分三阶段推进：2025年12月底前试点地区覆盖50种药品；2026年6月底前各省扩至100种；2026年12月底前全国各级医保部门实现全覆盖。</w:t>
      </w:r>
      <w:fldSimple w:instr="NOTEREF _Ref_Footnote_176 \h \f">
        <w:r>
          <w:rPr>
            <w:vertAlign w:val="superscript"/>
          </w:rPr>
          <w:t>176</w:t>
        </w:r>
      </w:fldSimple>
      <w:r>
        <w:t xml:space="preserve"> </w:t>
      </w:r>
      <w:r>
        <w:t xml:space="preserve">国家医保局基金监管司司长顾荣表示，已研发数十种大数据监管模型，为监督检查提供精准识别能力。</w:t>
      </w:r>
      <w:fldSimple w:instr="NOTEREF _Ref_Footnote_176 \h \f">
        <w:r>
          <w:rPr>
            <w:vertAlign w:val="superscript"/>
          </w:rPr>
          <w:t>176</w:t>
        </w:r>
      </w:fldSimple>
    </w:p>
    <w:p>
      <w:pPr>
        <w:pStyle w:val="BodyText"/>
      </w:pPr>
      <w:r>
        <w:t xml:space="preserve">电子处方流转的技术标准统一已取得里程碑式突破。2025年8月，市场监管总局（国家标准委）发布推荐性国家标准《医疗保障信息平台 便民服务相关技术规范》（GB/T 45938—2025），自2026年1月1日起实施，首次实现医保移动支付、电子处方流转、医保码接入的”三个统一”。</w:t>
      </w:r>
      <w:fldSimple w:instr="NOTEREF _Ref_Footnote_176 \h \f">
        <w:r>
          <w:rPr>
            <w:vertAlign w:val="superscript"/>
          </w:rPr>
          <w:t>176</w:t>
        </w:r>
      </w:fldSimple>
      <w:r>
        <w:t xml:space="preserve"> </w:t>
      </w:r>
      <w:r>
        <w:t xml:space="preserve">截至2025年7月，全国接入医保电子处方的机构超过35万家，累计开方6,300余万张。</w:t>
      </w:r>
      <w:fldSimple w:instr="NOTEREF _Ref_Footnote_176 \h \f">
        <w:r>
          <w:rPr>
            <w:vertAlign w:val="superscript"/>
          </w:rPr>
          <w:t>176</w:t>
        </w:r>
      </w:fldSimple>
      <w:r>
        <w:t xml:space="preserve"> </w:t>
      </w:r>
      <w:r>
        <w:t xml:space="preserve">电子处方流转的标准化意味着跨省处方互认的技术障碍正在消除，但医保结算接口与药监追溯系统的”两网融合”仍是下一步关键工程。</w:t>
      </w:r>
    </w:p>
    <w:bookmarkEnd w:id="126"/>
    <w:bookmarkStart w:id="130" w:name="全国统一大市场跨省许可监管互认处方外流"/>
    <w:p>
      <w:pPr>
        <w:pStyle w:val="Heading4"/>
      </w:pPr>
      <w:r>
        <w:t xml:space="preserve">9.1.2 全国统一大市场：跨省许可、监管互认、处方外流</w:t>
      </w:r>
    </w:p>
    <w:p>
      <w:pPr>
        <w:pStyle w:val="FirstParagraph"/>
      </w:pPr>
      <w:r>
        <w:t xml:space="preserve">2022年《中共中央 国务院关于加快建设全国统一大市场的意见》为药品流通行业指明了跨区域整合方向。</w:t>
      </w:r>
      <w:r>
        <w:rPr>
          <w:vertAlign w:val="superscript"/>
        </w:rPr>
        <w:footnoteReference w:id="177"/>
      </w:r>
      <w:r>
        <w:t xml:space="preserve"> </w:t>
      </w:r>
      <w:r>
        <w:t xml:space="preserve">跨省经营许可破冰已出现标志性案例：2023年10月，天津市武清区市场监管局核发全市首张跨省《药品经营许可证》，允许总部位于河北省廊坊市的九康医药连锁有限公司在天津开办门店，开创了京津冀药品许可监管协作的先例。</w:t>
      </w:r>
      <w:r>
        <w:rPr>
          <w:vertAlign w:val="superscript"/>
        </w:rPr>
        <w:footnoteReference w:id="178"/>
      </w:r>
      <w:r>
        <w:t xml:space="preserve"> </w:t>
      </w:r>
      <w:r>
        <w:t xml:space="preserve">山西省2026年新规进一步允许连锁总部跨省设置配送中心，海南推行批零一体化，同一法人主体可同时取得批发与零售连锁双重许可。</w:t>
      </w:r>
      <w:fldSimple w:instr="NOTEREF _Ref_Footnote_82 \h \f">
        <w:r>
          <w:rPr>
            <w:vertAlign w:val="superscript"/>
          </w:rPr>
          <w:t>82</w:t>
        </w:r>
      </w:fldSimple>
      <w:r>
        <w:t xml:space="preserve"> </w:t>
      </w:r>
      <w:r>
        <w:t xml:space="preserve">国务院办公厅2025年1月文件明确，按省级炮制规范炮制的中药饮片可按规定跨省销售，按国家药品标准生产的中药配方颗粒可直接跨省销售。</w:t>
      </w:r>
      <w:fldSimple w:instr="NOTEREF _Ref_Footnote_17 \h \f">
        <w:r>
          <w:rPr>
            <w:vertAlign w:val="superscript"/>
          </w:rPr>
          <w:t>17</w:t>
        </w:r>
      </w:fldSimple>
      <w:r>
        <w:t xml:space="preserve"> </w:t>
      </w:r>
      <w:r>
        <w:t xml:space="preserve">政策信号清晰：省际药品流通壁垒将在2026—2028年持续松动。</w:t>
      </w:r>
    </w:p>
    <w:p>
      <w:pPr>
        <w:pStyle w:val="BodyText"/>
      </w:pPr>
      <w:r>
        <w:t xml:space="preserve">处方外流是驱动零售药店承接增量市场的核心变量。截至2023年8月，全国约14.14万家定点零售药店开通门诊统筹服务，累计结算1.74亿人次，结算医保基金69.36亿元。</w:t>
      </w:r>
      <w:r>
        <w:rPr>
          <w:vertAlign w:val="superscript"/>
        </w:rPr>
        <w:footnoteReference w:id="179"/>
      </w:r>
      <w:r>
        <w:t xml:space="preserve"> </w:t>
      </w:r>
      <w:r>
        <w:t xml:space="preserve">华西证券预测2028年国内总处方外流规模将超过7,200亿元，其中零售药店作为院外主要承接方，受益规模约5,000亿元。</w:t>
      </w:r>
      <w:r>
        <w:rPr>
          <w:vertAlign w:val="superscript"/>
        </w:rPr>
        <w:footnoteReference w:id="180"/>
      </w:r>
      <w:r>
        <w:t xml:space="preserve"> </w:t>
      </w:r>
      <w:r>
        <w:t xml:space="preserve">若院外处方药销售占比达到美国水平（约45%），增量空间还将再增3,000—4,000亿元。</w:t>
      </w:r>
      <w:fldSimple w:instr="NOTEREF _Ref_Footnote_180 \h \f">
        <w:r>
          <w:rPr>
            <w:vertAlign w:val="superscript"/>
          </w:rPr>
          <w:t>180</w:t>
        </w:r>
      </w:fldSimple>
    </w:p>
    <w:p>
      <w:pPr>
        <w:pStyle w:val="CaptionedFigure"/>
      </w:pPr>
      <w:r>
        <w:drawing>
          <wp:inline>
            <wp:extent cx="5334000" cy="2980232"/>
            <wp:effectExtent b="0" l="0" r="0" t="0"/>
            <wp:docPr descr="中国处方外流规模预测（2023—2028年）" title="" id="128" name="Picture"/>
            <a:graphic>
              <a:graphicData uri="http://schemas.openxmlformats.org/drawingml/2006/picture">
                <pic:pic>
                  <pic:nvPicPr>
                    <pic:cNvPr descr="prescription_outflow_forecast.png" id="129" name="Picture"/>
                    <pic:cNvPicPr>
                      <a:picLocks noChangeArrowheads="1" noChangeAspect="1"/>
                    </pic:cNvPicPr>
                  </pic:nvPicPr>
                  <pic:blipFill>
                    <a:blip r:embed="rId127"/>
                    <a:stretch>
                      <a:fillRect/>
                    </a:stretch>
                  </pic:blipFill>
                  <pic:spPr bwMode="auto">
                    <a:xfrm>
                      <a:off x="0" y="0"/>
                      <a:ext cx="5334000" cy="2980232"/>
                    </a:xfrm>
                    <a:prstGeom prst="rect">
                      <a:avLst/>
                    </a:prstGeom>
                    <a:noFill/>
                    <a:ln w="9525">
                      <a:noFill/>
                      <a:headEnd/>
                      <a:tailEnd/>
                    </a:ln>
                  </pic:spPr>
                </pic:pic>
              </a:graphicData>
            </a:graphic>
          </wp:inline>
        </w:drawing>
      </w:r>
    </w:p>
    <w:p>
      <w:pPr>
        <w:pStyle w:val="ImageCaption"/>
      </w:pPr>
      <w:r>
        <w:t xml:space="preserve">中国处方外流规模预测（2023—2028年）</w:t>
      </w:r>
    </w:p>
    <w:p>
      <w:pPr>
        <w:pStyle w:val="BodyText"/>
      </w:pPr>
      <w:r>
        <w:t xml:space="preserve">上图显示，处方外流规模预计由2023年的约4,874亿元增长至2028年的约7,215亿元，年均复合增长率约8.2%；零售药店承接规模预计由3,379亿元增至5,043亿元。这一增长预期的前提是电子处方中心全国联网、门诊统筹药店”应纳尽纳”、医保结算接口统一等政策瓶颈在2026—2027年得到实质性突破。</w:t>
      </w:r>
    </w:p>
    <w:bookmarkEnd w:id="130"/>
    <w:bookmarkStart w:id="131" w:name="执业药师制度从一店一药师刚性模式向集团共享多点执业弹性模式演进"/>
    <w:p>
      <w:pPr>
        <w:pStyle w:val="Heading4"/>
      </w:pPr>
      <w:r>
        <w:t xml:space="preserve">9.1.3 执业药师制度从”一店一药师”刚性模式向”集团共享+多点执业”弹性模式演进</w:t>
      </w:r>
    </w:p>
    <w:p>
      <w:pPr>
        <w:pStyle w:val="FirstParagraph"/>
      </w:pPr>
      <w:r>
        <w:t xml:space="preserve">全国执业药师配置面临”总量不足、区域失衡”的双重挤压。截至2025年7月底，全国注册执业药师约833,291人，其中约91%注册于药品零售企业。</w:t>
      </w:r>
      <w:r>
        <w:rPr>
          <w:vertAlign w:val="superscript"/>
        </w:rPr>
        <w:footnoteReference w:id="181"/>
      </w:r>
      <w:r>
        <w:t xml:space="preserve"> </w:t>
      </w:r>
      <w:r>
        <w:t xml:space="preserve">但全国药店总数已突破70万家，若按二类药店至少1名、三类药店至少2名执业药师配备，静态硬缺口约55—60万人。</w:t>
      </w:r>
      <w:r>
        <w:rPr>
          <w:vertAlign w:val="superscript"/>
        </w:rPr>
        <w:footnoteReference w:id="182"/>
      </w:r>
      <w:r>
        <w:t xml:space="preserve"> </w:t>
      </w:r>
      <w:r>
        <w:t xml:space="preserve">地域分布极不均衡：上海每万人口执业药师约8.1人，而贵州仅约1.9人。</w:t>
      </w:r>
      <w:fldSimple w:instr="NOTEREF _Ref_Footnote_182 \h \f">
        <w:r>
          <w:rPr>
            <w:vertAlign w:val="superscript"/>
          </w:rPr>
          <w:t>182</w:t>
        </w:r>
      </w:fldSimple>
      <w:r>
        <w:t xml:space="preserve"> </w:t>
      </w:r>
      <w:r>
        <w:t xml:space="preserve">2025年底差异化配备过渡期结束，多地合规需求集中释放，缺口进一步显性化。</w:t>
      </w:r>
    </w:p>
    <w:p>
      <w:pPr>
        <w:pStyle w:val="BodyText"/>
      </w:pPr>
      <w:r>
        <w:t xml:space="preserve">在政策执行层面，</w:t>
      </w:r>
      <w:r>
        <w:t xml:space="preserve">“</w:t>
      </w:r>
      <w:r>
        <w:t xml:space="preserve">远程审方不得取代驻店药师</w:t>
      </w:r>
      <w:r>
        <w:t xml:space="preserve">”</w:t>
      </w:r>
      <w:r>
        <w:t xml:space="preserve">的刚性要求与60万+缺口构成持续张力。2026年5月《处方药网络零售合规指南》重申禁止AI替代审方，要求日均审方量控制在300张以内，强化了执业药师的人为责任，但未改变供给端瓶颈。</w:t>
      </w:r>
      <w:fldSimple w:instr="NOTEREF _Ref_Footnote_5 \h \f">
        <w:r>
          <w:rPr>
            <w:vertAlign w:val="superscript"/>
          </w:rPr>
          <w:t>5</w:t>
        </w:r>
      </w:fldSimple>
      <w:r>
        <w:t xml:space="preserve"> </w:t>
      </w:r>
      <w:r>
        <w:t xml:space="preserve">务实的政策演进路径已经出现：陕西省2019年明确鼓励执业药师节假日多点执业，并在实行”七统一”且门店超过30家的连锁企业中，允许执业药师注册在总部、由总部统一调配使用，保证每店不少于1名药师即可。</w:t>
      </w:r>
      <w:r>
        <w:rPr>
          <w:vertAlign w:val="superscript"/>
        </w:rPr>
        <w:footnoteReference w:id="183"/>
      </w:r>
      <w:r>
        <w:t xml:space="preserve"> </w:t>
      </w:r>
      <w:r>
        <w:t xml:space="preserve">湖北省2022年印发《执业药师注册管理实施办法》，将远程审方第三方平台纳入执业单位类别，并允许执业药师在同一执业单位省内多个地点备案执业。</w:t>
      </w:r>
      <w:r>
        <w:rPr>
          <w:vertAlign w:val="superscript"/>
        </w:rPr>
        <w:footnoteReference w:id="184"/>
      </w:r>
      <w:r>
        <w:t xml:space="preserve"> </w:t>
      </w:r>
      <w:r>
        <w:t xml:space="preserve">这些地方试点实质上已在现行制度框架内创造了”集团共享+多点执业”的弹性空间。</w:t>
      </w:r>
    </w:p>
    <w:p>
      <w:pPr>
        <w:pStyle w:val="BodyText"/>
      </w:pPr>
      <w:r>
        <w:t xml:space="preserve">从演进方向判断，国家层面可能在2026—2028年出台执业药师”集团注册+多点执业”的正式制度，以法规形式承认当前的过渡实践。但需警惕的是，弹性模式若缺乏清晰的责任追溯机制，可能诱发新一轮”挂证”回潮——2024年全国执业药师注销注册超3万人，同比增幅超62%。</w:t>
      </w:r>
      <w:r>
        <w:rPr>
          <w:vertAlign w:val="superscript"/>
        </w:rPr>
        <w:footnoteReference w:id="185"/>
      </w:r>
      <w:r>
        <w:t xml:space="preserve"> </w:t>
      </w:r>
      <w:r>
        <w:t xml:space="preserve">弹性化与合规性之间的平衡，将是执业药师制度改革的核心难点。</w:t>
      </w:r>
    </w:p>
    <w:bookmarkEnd w:id="131"/>
    <w:bookmarkEnd w:id="132"/>
    <w:bookmarkStart w:id="136" w:name="政策建议-1"/>
    <w:p>
      <w:pPr>
        <w:pStyle w:val="Heading3"/>
      </w:pPr>
      <w:r>
        <w:t xml:space="preserve">9.2 政策建议</w:t>
      </w:r>
    </w:p>
    <w:bookmarkStart w:id="133" w:name="Xac98c7535d3efe6d88463cbe13998e373733f97"/>
    <w:p>
      <w:pPr>
        <w:pStyle w:val="Heading4"/>
      </w:pPr>
      <w:r>
        <w:t xml:space="preserve">9.2.1 国家层面：尽快出台”智慧药房”国家标准和分类规范，弥合地方政策差异；推动电子处方流转与医保结算全国统一接口</w:t>
      </w:r>
    </w:p>
    <w:p>
      <w:pPr>
        <w:pStyle w:val="FirstParagraph"/>
      </w:pPr>
      <w:r>
        <w:t xml:space="preserve">当前智慧药房（柜）面临的最大制度不确定性，是地方”概念区分”策略与国家上位法之间的潜在冲突。山西、山东烟台、湖南永州等地通过将”智慧药房”与”自助售药机”严格区分，实现了处方药自动销售的政策突破；北京、陕西等地则固守48号公告底线，仅允许乙类OTC销售。</w:t>
      </w:r>
      <w:fldSimple w:instr="NOTEREF _Ref_Footnote_19 \h \f">
        <w:r>
          <w:rPr>
            <w:vertAlign w:val="superscript"/>
          </w:rPr>
          <w:t>19</w:t>
        </w:r>
      </w:fldSimple>
      <w:r>
        <w:t xml:space="preserve"> </w:t>
      </w:r>
      <w:r>
        <w:t xml:space="preserve">这种地方分化增加了连锁企业的跨区域合规成本。建议国家药监局尽快出台《智慧药房管理条例》或修订《药品网络销售监督管理办法》，对”智慧药房”</w:t>
      </w:r>
      <w:r>
        <w:t xml:space="preserve">“</w:t>
      </w:r>
      <w:r>
        <w:t xml:space="preserve">自助售药机</w:t>
      </w:r>
      <w:r>
        <w:t xml:space="preserve">”</w:t>
      </w:r>
      <w:r>
        <w:t xml:space="preserve">“</w:t>
      </w:r>
      <w:r>
        <w:t xml:space="preserve">远程审方</w:t>
      </w:r>
      <w:r>
        <w:t xml:space="preserve">”</w:t>
      </w:r>
      <w:r>
        <w:t xml:space="preserve">作出统一定义，明确智慧药房售处方药的前置条件（如必须配备远程执业药师实时视频审核、建立患者用药档案等），消除”一省一策”的制度摩擦。</w:t>
      </w:r>
    </w:p>
    <w:p>
      <w:pPr>
        <w:pStyle w:val="BodyText"/>
      </w:pPr>
      <w:r>
        <w:t xml:space="preserve">电子处方流转与医保结算的全国统一接口已具备技术基础。GB/T 45938—2025标准实现了接入层统一，但医院HIS系统、零售药店ERP系统、医保结算系统之间的业务逻辑接口仍由各省分别改造，存在”接口碎片化”问题。</w:t>
      </w:r>
      <w:r>
        <w:rPr>
          <w:vertAlign w:val="superscript"/>
        </w:rPr>
        <w:footnoteReference w:id="186"/>
      </w:r>
      <w:r>
        <w:t xml:space="preserve"> </w:t>
      </w:r>
      <w:r>
        <w:t xml:space="preserve">建议国家医保局与国家药监局联合发布电子处方流转业务规范，强制要求所有统筹地区在2026年底前完成电子处方中心与零售药店直连接入，统一电子处方格式、流转协议、身份认证和医保药师审方签名标准。深圳电子处方中心已探索对接互联网医院、医疗机构处方系统、医保信息平台、支付结算机构的”一网通办”模式，可作为技术参考。</w:t>
      </w:r>
      <w:r>
        <w:rPr>
          <w:vertAlign w:val="superscript"/>
        </w:rPr>
        <w:footnoteReference w:id="187"/>
      </w:r>
    </w:p>
    <w:p>
      <w:pPr>
        <w:pStyle w:val="BodyText"/>
      </w:pPr>
      <w:r>
        <w:t xml:space="preserve">此外，执业药师立法滞后于行业实践。建议加快《药师法》立法进程，明确执业药师在远程审方、多点执业场景中的权利义务与法律责任边界。</w:t>
      </w:r>
    </w:p>
    <w:bookmarkEnd w:id="133"/>
    <w:bookmarkStart w:id="134" w:name="省级层面在提高连锁门槛的同时建立单体药店转型支持机制避免农村药品可及性下降"/>
    <w:p>
      <w:pPr>
        <w:pStyle w:val="Heading4"/>
      </w:pPr>
      <w:r>
        <w:t xml:space="preserve">9.2.2 省级层面：在提高连锁门槛的同时，建立单体药店转型支持机制，避免农村药品可及性下降</w:t>
      </w:r>
    </w:p>
    <w:p>
      <w:pPr>
        <w:pStyle w:val="FirstParagraph"/>
      </w:pPr>
      <w:r>
        <w:t xml:space="preserve">山西省将连锁准入门槛设定为10家门店，并附加许可证有效期届满时门店数量不达标的”硬约束”，这一政策逻辑在提升行业集中度方面具有合理性，但可能加剧乡镇农村市场的药品供应萎缩。</w:t>
      </w:r>
      <w:fldSimple w:instr="NOTEREF _Ref_Footnote_10 \h \f">
        <w:r>
          <w:rPr>
            <w:vertAlign w:val="superscript"/>
          </w:rPr>
          <w:t>10</w:t>
        </w:r>
      </w:fldSimple>
      <w:r>
        <w:t xml:space="preserve"> </w:t>
      </w:r>
      <w:r>
        <w:t xml:space="preserve">大型连锁药店倾向于在城区布局，乡镇和农村地区因盈利能力弱、物流成本高而难以吸引投资。参照山东、北京等地经验，建议在提高连锁门槛的同时，为单体药店提供三条转型通道：加盟便利化——对加入连锁体系的单体药店，在许可证变更、GSP现场检查等环节实行”绿色通道”；乙类OTC专营许可——对仅经营乙类OTC的单体药店实行告知承诺制，降低面积和人员门槛，使其转型为社区便利性健康终端；药食同源差异化经营——明确”非临床配方使用”的界定标准，允许偏远地区单体药店在豁免执业中药师的前提下经营定型包装药食同源饮片，释放下沉市场活力。</w:t>
      </w:r>
    </w:p>
    <w:p>
      <w:pPr>
        <w:pStyle w:val="BodyText"/>
      </w:pPr>
      <w:r>
        <w:t xml:space="preserve">对农村药品可及性的保护还应纳入配送网络建设。建议省级药监部门联合商务、邮政部门，推动连锁企业或第三方物流企业向乡镇延伸配送节点。山西允许连锁总部委托第三方药品现代物流企业配送，为农村配送社会化提供了制度接口。</w:t>
      </w:r>
      <w:fldSimple w:instr="NOTEREF _Ref_Footnote_10 \h \f">
        <w:r>
          <w:rPr>
            <w:vertAlign w:val="superscript"/>
          </w:rPr>
          <w:t>10</w:t>
        </w:r>
      </w:fldSimple>
      <w:r>
        <w:t xml:space="preserve"> </w:t>
      </w:r>
      <w:r>
        <w:t xml:space="preserve">若省级财政对偏远地区配送给予适当补贴，可在不降低连锁门槛的前提下缓解农村”空心化”风险。</w:t>
      </w:r>
    </w:p>
    <w:bookmarkEnd w:id="134"/>
    <w:bookmarkStart w:id="135" w:name="企业层面加快数字化升级和连锁化布局将远程审方智慧药房追溯码系统纳入战略投资优先级"/>
    <w:p>
      <w:pPr>
        <w:pStyle w:val="Heading4"/>
      </w:pPr>
      <w:r>
        <w:t xml:space="preserve">9.2.3 企业层面：加快数字化升级和连锁化布局，将远程审方、智慧药房、追溯码系统纳入战略投资优先级</w:t>
      </w:r>
    </w:p>
    <w:p>
      <w:pPr>
        <w:pStyle w:val="FirstParagraph"/>
      </w:pPr>
      <w:r>
        <w:t xml:space="preserve">政策组合所形成的”供给侧改革”压力，要求药品零售企业重新定位战略投资优先级。从合规维度看，药品追溯码系统已由2025年的”医保结算前提”升级为2026年的”全量采集义务”，未接入追溯码系统的零售药店将面临医保结算暂停、甚至许可证重新审查发证的合规风险。</w:t>
      </w:r>
      <w:fldSimple w:instr="NOTEREF _Ref_Footnote_175 \h \f">
        <w:r>
          <w:rPr>
            <w:vertAlign w:val="superscript"/>
          </w:rPr>
          <w:t>175</w:t>
        </w:r>
      </w:fldSimple>
      <w:r>
        <w:t xml:space="preserve"> </w:t>
      </w:r>
      <w:r>
        <w:t xml:space="preserve">企业须在2026年上半年前完成ERP系统改造、扫码设备部署、进销存数据与追溯码的绑定上传，此项投入对单体药店而言成本压力较大，但已是生存性投资。</w:t>
      </w:r>
    </w:p>
    <w:p>
      <w:pPr>
        <w:pStyle w:val="BodyText"/>
      </w:pPr>
      <w:r>
        <w:t xml:space="preserve">从增长维度看，处方外流的红利窗口预计在2026—2028年达到高峰。头部连锁药店已提前布局DTP药房、慢病管理门店、特慢病医保结算资质。</w:t>
      </w:r>
      <w:r>
        <w:rPr>
          <w:vertAlign w:val="superscript"/>
        </w:rPr>
        <w:footnoteReference w:id="188"/>
      </w:r>
      <w:r>
        <w:t xml:space="preserve"> </w:t>
      </w:r>
      <w:r>
        <w:t xml:space="preserve">单体药店和中小连锁若希望分享处方外流增量，必须在执业药师配备、处方审核能力、冷链管理、电子处方对接等方面达到门诊统筹和”双通道”药店的准入标准。建议企业将远程审方中心、智慧药房试点、追溯码系统纳入同一数字化战略框架，三者协同可降低重复建设成本。</w:t>
      </w:r>
    </w:p>
    <w:p>
      <w:pPr>
        <w:pStyle w:val="BodyText"/>
      </w:pPr>
      <w:r>
        <w:t xml:space="preserve">从市场结构维度看，行业并购整合高峰已至。2024年全国闭店约3.9万家，2025年预计关店5—10万家，头部连锁逆势扩张。</w:t>
      </w:r>
      <w:fldSimple w:instr="NOTEREF _Ref_Footnote_72 \h \f">
        <w:r>
          <w:rPr>
            <w:vertAlign w:val="superscript"/>
          </w:rPr>
          <w:t>72</w:t>
        </w:r>
      </w:fldSimple>
      <w:r>
        <w:t xml:space="preserve"> </w:t>
      </w:r>
      <w:r>
        <w:t xml:space="preserve">山西省连锁率44.68%远低于全国57.04%的平均水平，办法施行后预计2—3年内将向55%—60%区间跃升。</w:t>
      </w:r>
      <w:fldSimple w:instr="NOTEREF _Ref_Footnote_188 \h \f">
        <w:r>
          <w:rPr>
            <w:vertAlign w:val="superscript"/>
          </w:rPr>
          <w:t>188</w:t>
        </w:r>
      </w:fldSimple>
      <w:r>
        <w:t xml:space="preserve"> </w:t>
      </w:r>
      <w:r>
        <w:t xml:space="preserve">区域性单体药店主动加入连锁体系或转型为乙类OTC专营便利店，是应对政策收紧的理性选择；对头部连锁而言，跨省配送中心与批零一体化降低了物流重复建设成本，全国性网络扩张的财务可行性显著提升。</w:t>
      </w:r>
      <w:r>
        <w:rPr>
          <w:vertAlign w:val="superscript"/>
        </w:rPr>
        <w:footnoteReference w:id="189"/>
      </w:r>
    </w:p>
    <w:p>
      <w:r>
        <w:pict>
          <v:rect style="width:0;height:1.5pt" o:hralign="center" o:hrstd="t" o:hr="t"/>
        </w:pict>
      </w:r>
    </w:p>
    <w:bookmarkEnd w:id="135"/>
    <w:bookmarkEnd w:id="136"/>
    <w:bookmarkEnd w:id="137"/>
    <w:bookmarkEnd w:id="138"/>
    <w:bookmarkStart w:id="139" w:name="引用来源"/>
    <w:p>
      <w:pPr>
        <w:pStyle w:val="Heading1"/>
      </w:pPr>
      <w:r>
        <w:t xml:space="preserve">引用来源</w:t>
      </w: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《中华人民共和国药品管理法》，2019年8月26日修订。https://www.nmpa.gov.cn/xxgk/fgwj/flxzhfg/20190827083801685.html</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《中华人民共和国药品管理法实施条例》，国务院令第828号，2026年1月16日公布，2026年5月15日施行。https://www.gov.cn/zhengce/content/202601/content_7056255.htm</w:t>
      </w:r>
      <w:bookmarkEnd w:id="10002"/>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国家药监局《关于进一步做好药品经营监督管理有关工作的公告》（2024年第48号），2024年4月22日。https://www.nmpa.gov.cn/xxgk/ggtg/ypggtg/ypqtggtg/20240422170840151.html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《处方药网络零售合规指南》，国家药监局综合司，药监综药管函〔2026〕282号，2026年5月25日。https://www.nmpa.gov.cn/xxgk/fgwj/gzwj/gzwjyp/20260525142536103.html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山西省商务厅、山西省工业和信息化厅《山西省现代医药产业链中长期发展规划（2024—2026年）》，2024年9月5日。http://swt.shanxi.gov.cn/xxgk/xxgkzl/xxgklm/gztz_69874/202409/t20240905_9648145.shtml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国家药监局《药品监督管理统计年度数据（2024年）》，行业分析引用。http://mp.weixin.qq.com/s?__biz=MjM5NDEwMDQ2Mg==&amp;mid=2658693111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商务部《关于"十四五"时期促进药品流通行业高质量发展的指导意见》。</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《中国药店》杂志，2024年6月6日。http://www.ydzz.com/zgyd.php?col=22&amp;file=65841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山西省药品监督管理局、山西省行政审批服务管理局《药品零售经营监督管理办法（试行）》（晋药监规〔2026〕7号），2026年2月12日印发。https://m.ciopharma.com/supervise/60951</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北京市药品监督管理局《与时代同行，谱写药品监管新篇章》，2025年11月24日。https://yjj.beijing.gov.cn/yjj/zwgk20/gg17/1694968/index.html</w:t>
      </w:r>
      <w:bookmarkEnd w:id="10011"/>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国务院办公厅《关于全面深化药品医疗器械监管改革促进医药产业高质量发展的意见》，2025年1月3日。https://www.nmpa.gov.cn/xxgk/fgwj/qita/20250103170940152.html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政策研究员_山西核心框架. 山西省《药品零售经营监督管理办法（试行）》深度调研报告（Dim-01）. 2026-06-13.</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政策研究员_售药渠道创新. 中国各省药品零售渠道创新政策对比研究报告. Dim02. 2026-06-13.</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上海首家"24小时智慧药房"落地浦东可全时段购买处方药. 2023-05-22. http://sh.sina.cn/zw/2023-05-22/detail-imyurtsh4937668.d.html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政策研究员_药食同源销售. 中国各省药食同源中药饮片销售政策对比研究报告（Dim-03）. 2026-06-13.</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洞察提取报告：山西省药品零售经营监督管理办法及类似政策深度调研. 2026-06-13.</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山东省药品零售店分级分类管理办法. 2019-11. https://sd.dzwww.com/sdnews/201911/t20191128_19405710.htm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江西省药品零售许可验收实施标准（征求意见稿）. 2025-07.</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陕西省商洛市市场监管局《关于药品零售经营企业可以销售"药食同源"定型包装中药饮片的通知》. 2025-05-21. https://www.cnpharm.com/c/2025-05-21/1072133.shtml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国家药监局《药品监督管理统计年度数据（2024）》. 2025-08. https://c.m.163.com/news/a/K84ODM9B0514CJ09.html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政策研究员_连锁经营门槛. 全国各省药品零售连锁经营门槛与监管要求对比分析（Dim-04）. 2026-06-13.</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政策研究员_远程药学服务. 中国各省远程药学服务与远程审方政策对比研究报告（Dim-05）. 2026-06-13.</w:t>
      </w:r>
      <w:bookmarkEnd w:id="10028"/>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国家药监局《处方药网络零售合规指南》（药监综药管函〔2026〕282号）. 2026-05-25.</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政策研究员_网络销售监管. 中国各省药品网络销售监管政策对比分析（Dim-06）. 2026-06-13.</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北京市药品监督管理局.《北京市药品零售企业设置自助售（取）药机管理暂行规定》（京药监发〔2024〕230号）. 2024-10-09.</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陕西省药品监督管理局.《陕西省自助售药机销售药品管理规定（试行）》（征求意见稿）. 2024-06-28.</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广西壮族自治区药品监督管理局.《自助售药机销售药品管理规定》. 2024-11-15. 2024-12-01施行.</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重庆市药品监督管理局、重庆市医疗保障局.《重庆市自动售药机管理规定（试行）》（渝药监〔2020〕26号）. 2020-05-20. 2020-07-01施行.</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西藏自治区药品监督管理局.《西藏自治区自动售药机销售药品管理规定》. 2023-04-13. 2023-05-01施行.</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烟台市市场监督管理局.《烟台市智能储药柜出售药品管理规定》（烟市监字〔2023〕38号）. 2023-03-20. 有效期至2028-03-23.</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湖南省永州市市场监督管理局.《永州市自动售药机销售药品医疗器械管理规定（试行）》. 2022-01-20.</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上海市药品监督管理局.《上海市药品零售企业许可验收实施细则》. 2024-08.</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湖北省药品监督管理局.《湖北省社会药房监督管理办法（试行）》（鄂药监发〔2021〕27号）. 2021-11.</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河北省医疗保障局.《关于设置"自助药房"进一步方便参保群众购药的通知》（冀医保办〔2023〕36号）. 2023-10-26.</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甘肃省药品监督管理局.《甘肃省自动售药机药品经营管理规定》（征求意见稿）. 2022-10.</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江西省药品监督管理局.《关于支持药品零售连锁企业发展的意见（试行）》. 2022-11.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上海市浦东新区市场监管局.《零售药店数字化转型建设试点工作实施方案》及华氏大药房×美团买药试点. 2023-05-18.</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国家药品监督管理局.《处方药网络零售合规指南》（药监综药管函〔2026〕282号）. 2026-05-25.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政策研究员_国家法规框架. 国家层面药品零售监管法规框架与地方政策创新空间分析. Dim07. 2026-06-13.</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政策研究员_法律风险与趋势. 药品零售政策法律风险、合规争议与未来趋势深度研究报告. Dim10. 2026-06-13.</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每日经济新闻. 一纸文件征求意见，药店老板们睡不着觉了. 2025-08-19. https://finance.sina.com.cn/roll/2025-08-19/doc-infmpqhx2475650.shtml</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长三角区域地方标准.《智慧药房评价体系》（DB31/32/33/34 T 310011-2022）. 沪苏浙皖市场监管局联合发布. 2022-07-25施行.</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浙江省市场监督管理局.《零售智慧药房建设与管理规范》（DB33/T 1445-2025）. 2025-08-29发布. 2025-09-29施行.</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安徽省市场监督管理局.《智慧药房建设指南》（DB34/T 3790-2021）、《智慧药房验收规范》（DB34/T 3791-2021）. 2021-02-25.</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安徽省市场监督管理局.《智慧处方审核技术规范》（DB34/T 4502-2023）. 2023-07-31.</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政策研究员_售药渠道创新. 中国各省药品零售渠道创新政策对比研究报告. Dim02. 2026-06-13.</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北京17家叮当智慧药房开通医保电子凭证刷码购药服务. 北京日报. 2023-03-21.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叮当智慧药房杭州落地在线医保支付功能. 千龙网. 2024-06.</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太原个人医保电子处方查询操作指南. 2025-03-12. 山西省统一医保电子处方平台2023年2月完成建设，2025年1月1日起"双通道"药品强制电子处方流转.</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国家药监局综合司. 处方药网络零售合规指南政策解读. 2026-05-25.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齐鲁网. 山东出台实施办法加强药品网络交易第三方平台监管. 2023-10-28. https://news.iqilu.com/shandong/shandonggedi/20231028/5537433.shtml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山东省药品网络销售监督管理实施办法. 2023-10-17. 第五章第三十八条.</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江西省药品网络销售监督管理办法实施细则. 2024. 第三章第二十四条.</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江西省药监局《江西省药品零售许可验收实施标准（征求意见稿）》. 2025-04. https://jx.ifeng.com/c/8iFiNBeD7v9</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政策研究员_法律风险与趋势. 药品零售政策法律风险、合规争议与未来趋势深度研究报告. Dim10. 2026-06-13.</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安徽省药监局《安徽省药品经营和使用质量监督管理办法实施细则》及政策解读. 2026-01-04. https://mpa.ah.gov.cn/public/4140867/123247761.html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湖北省药监局《湖北省社会药房监督管理办法（试行）》. 2021-12-08. https://m.ciopharma.com/supervise/14635</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内蒙古自治区药品监督管理局《关于零售药店销售精包装单味中药饮片相关问题的复函》. 2025-04-29. https://www.ciopharma.com/supervise/44442</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药食同源销售放宽监管风险分析. 2023-2025. https://www.sohu.com/a/315337447_100035631</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青海某医院中药师提醒及CIO合规保证组织分析. 药食同源饮片受潮变质劣药风险分析. 2023. https://xueqiu.com/1824618939/252997581</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米内网数据及行业分析：《"药食同源"中药饮片经营条件放宽，院外市场放量迎加速度》. 2023-06-21. https://www.toutiao.com/article/7246801476213834279/</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全国执业药师配备数据. 2024-12. https://www.ydzz.com/news.php?col=67&amp;file=66750</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哈尔滨市市场监督管理局《关于药品零售企业可以销售"药食同源"定型包装中药饮片的通知》. 2023-07. https://www.thepaper.cn/newsDetail_forward_23927197</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商务部、市场监管总局等12部门《促进健康消费专项行动方案》. 2025-04. https://www.sohu.com/a/904884925_121124570</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米内网药品零售终端数据；上市公司公告. 2025-2026.</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四川省药品监督管理局. 《关于进一步明确药品经营监管有关事宜的通知》（川药监发〔2025〕25号）. 2025.</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天津市药品监督管理局. 《药品经营（连锁、零售）监督管理规定》（津药监规〔2025〕5号）. 2025.</w:t>
      </w:r>
      <w:bookmarkEnd w:id="10074"/>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北京市药品监督管理局. 《北京市药品零售企业许可管理规定》（京药监发〔2025〕41号）. 2025-03-25. http://mp.weixin.qq.com/s?__biz=MjM5ODQyOTQ4MA==&amp;mid=2652562185</w:t>
      </w:r>
      <w:bookmarkEnd w:id="10076"/>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河北省药品监督管理局. 《关于支持药品零售连锁企业发展的意见》. 2022-06.</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江西省药品监督管理局. 《江西省药品零售经营监督管理办法（征求意见稿）》.</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广西壮族自治区药品监督管理局. 《关于进一步做好药品经营监督管理有关工作的通告》.</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海南省《关于规范药品批发零售一体化经营工作的通知》（琼药监规〔2025〕2号）. 2025-03.</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国家市场监督管理总局. 《药品经营和使用质量监督管理办法》（令第84号）. 2023-09-27公布，2024-01-01施行. https://www.mengcheng.gov.cn/upload_bz/download?siteId=4&amp;id=953904</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山西省药品监督管理局. 《2024年药品流通监督检查工作计划》. 2024-03-19.</w:t>
      </w:r>
      <w:bookmarkEnd w:id="10084"/>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雪球. "七统一"严管，连锁药店最高处罚200万. 2024-04-12. https://xueqiu.com/2495339241/285774721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四川省药品监督管理局. 《关于严格执行药品零售连锁企业"七统一"管理要求的郑重提示》. 2024-03-26. https://www.sohu.com/a/767051623_121106884</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达州市市场监督管理局. 《关于规范执行〈四川省药品零售经营监督管理办法〉等有关事宜的通知》. 2024. https://scjgj.dazhou.gov.cn/uploadfile/50/Attachment/c8a0be628f.pdf</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山西省药品监督管理局. 《药品零售经营监督管理办法（试行）》（晋药监规〔2026〕7号）第二十四条. 2026-02-12.</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江西省药品监督管理局. 《江西省药品零售经营监督管理办法（征求意见稿）》第十七条、十八条.</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重庆市药品监督管理局. 《药品零售连锁总部检查细则》政策问答.</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海南省药品监督管理局. 《关于规范药品批发零售一体化经营工作的通知》（琼药监规〔2025〕2号）. 2025-03-04.</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基于行业仓储成本结构分析，具体降幅因企业规模与区域布局差异而不同。</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国家药监局南方医药经济研究所. 第36届医药经济信息发布会报告；中康CMH数据；未来智库《2024年连锁药店行业研究》. 2025.</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重庆市药品监督管理局《关于在全市药品零售企业推行执业药师远程药学服务和电子处方试点工作的指导意见》文件解读. 2023-10-17. https://www.ciopharma.com/supervise/33764</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正保医学教育网. 执业药师远程审方政策汇总. 2024-11-12. https://www.med66.com/zhiyeyaoshikaoshi/zhengce/cy1909196612.shtml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政策研究员_远程药学服务. 中国各省远程药学服务与远程审方政策对比研究报告. Dim05. 2026-06-13.</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政策研究员_远程药学服务. 中国各省远程药学服务与远程审方政策对比研究报告. Dim05. 2026-06-13.</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云南省药监局《关于进一步促进药品零售企业健康发展的意见》. 药店经理人/摩熵医药. 2019-07. https://www.pharnexcloud.com/zixun/bg_117</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正保医学教育网. 山西省远程审方政策解读. 2025-03-20. https://www.med66.com/zhiyeyaoshikaoshi/zhengce/me2005148412.shtml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福建省药品监督管理局. 关于鼓励通过信息技术开展执业药师远程审方的意见解读. 2019-09-10. https://yjj.scjgj.fujian.gov.cn/zwgk/zcjd/bmzfwjjd/201909/t20190910_5021437.htm</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北京市药品监督管理局. 北京市药品零售企业许可管理规定. 2025-02-25. https://yjj.beijing.gov.cn/yjj/zwgk20/zcwj91/543536185/index.html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湖南省执业药师远程审方设置规范. 2019-04. （政策文件汇编）</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陕西省药品监督管理局. 陕西省药品零售连锁企业开展执业药师远程审方服务工作指导意见. 2022-12-05. https://mpa.shaanxi.gov.cn/info/1006/46143.htm</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黑龙江省药品监督管理局. 黑龙江省药品零售连锁企业执业药师在线远程网络审核处方有关规定（试行）. 2019-08.</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重庆市药品监督管理局. 关于在全市药品零售企业推行执业药师远程药学服务和电子处方试点工作的指导意见. 2019-08.</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辽宁省药品监督管理局. 药品零售连锁企业远程药学服务指导意见（征求意见稿）. （政策文件）</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上海市药品监督管理局. 上海市药品零售企业许可验收实施细则政策解读. 2024-08-29. https://yjj.sh.gov.cn/zcjd/20240829/01785e19d54b48d8880e38e845ee1568.html</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CIO在线. 江西药监局《药品零售连锁企业远程药学服务现场检查细则（征求意见稿）》. 2024-09-06. https://www.ciopharma.com/article/explain/1061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国家药监局综合司. 处方药网络零售合规指南. 2026-05-25. https://www.nmpa.gov.cn/xxgk/zhcjd/zhcjdyp/20260525142837100.html</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上观新闻/解放日报. 网售处方药行业迎深度洗牌. 2026-06-05. https://www.shobserver.com/news/detail?id=1118313</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ByDrug/制药魔方. 国家药监局重磅发文：严禁AI审方！药师这次稳了？. 2026-06-04. https://bydrug.pharmcube.com/news/detail/6f5caf06f02a5230743c19488981ba84</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新疆维吾尔自治区药品监督管理局. 远程审方系统配备硬件及系统技术标准（试行）. 2019-11.</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海报新闻/山东省药品监督管理局. 最新！执业药师远程审方标准公布. 2021-09-03. https://hb.dzwww.com/p/pelsjCgjAGd.html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国家药监局执业药师资格认证中心. 2025年7月全国执业药师注册情况. 2025-09-03（行业汇总）. http://mp.weixin.qq.com/s?__biz=MzIwMDQxMzkyNQ==&amp;mid=2650437028</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正保医学教育网/希赛网. 执业药师缺口近60万？除了药店，这些岗位也需执业药师担任！. 2025. http://mp.weixin.qq.com/s?__biz=MzU1MTU4MTM4Ng==&amp;mid=2247639668</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财新网. 稳就业｜全国执业药师缺口如何填补？. 2025-06-05. https://m.caixin.com/m/2025-06-05/102327327.html</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中国药师协会执业药师配备数据；各省药监局统计公报. （交叉验证报告引用）. 2026-06-13.</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PMC. Changes in pharmaceutical retail market and regional pharmacists in China. 2022. https://pmc.ncbi.nlm.nih.gov/articles/PMC9680178/</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政策研究员_洞察提取. 洞察4：执业药师配置正在从“数量刚性”向“结构弹性”转型. 2026-06-13.</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各省执业药师差异化配备过渡期政策汇总. 2024-2025. （行业汇编）</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海南省药监局. 关于药品零售企业按规定配备执业药师相关工作提示的函. 2026-01-12. https://m.rundejy.com/zixun/yaoshi/xwzc/12908</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药店经理人/楚天频道. 药店远程审方，有检察院开始严查. 2023-10-07. https://mp.weixin.qq.com/s?__biz=MzIzMjY3NzgxMw==&amp;mid=2247551067</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政策研究员_远程药学服务. 中国各省远程药学服务与远程审方政策对比研究报告. Dim05. 2026-06-13.</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湖北省药品监督管理局. 湖北省药品网络销售监督管理实施细则. 2025-08-18. https://mp.weixin.qq.com/s/WCMyo60lPgAWXNsYZlJzDA</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药端通. 没有实体门店，禁止网售药品！史上最严药店新规来了. 2025-09-03. https://mp.weixin.qq.com/s?__biz=MzkxODcyNjI0Nw==&amp;mid=2247485247&amp;idx=1&amp;sn=d8dce25271269acfb6baf84debfeeb39</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中国药店. 不到一个月，这项新规实施关注五点！. 2025-09-06. https://mp.weixin.qq.com/s?__biz=MzAwNTMwNjg4Mg==&amp;mid=2247634855&amp;idx=1&amp;sn=6740fcf2985ac7c3d699301c883fbe29</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山东省药品监督管理局. 山东省药品网络销售监督管理实施办法（鲁药监规〔2023〕4号）. 2023-10-17. https://www.sohu.com/a/741818494_121123922</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山西省药品监督管理局. 山西省药品零售经营监督管理办法（试行）（晋药监规〔2026〕7号）. 2026-02-12.</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辽宁省药品监督管理局. 辽宁省药品网络销售监督管理办法实施细则. 2024-12-23. https://ypjg.ln.gov.cn/ypjg/zfxxgk/zc/bbmgfxwj/2024122317003868664/index.shtml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山西省药品零售经营监督管理办法（试行）. 2026. 第五章第三十九条.</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山西省药品零售经营监督管理办法（试行）. 2026. 第五章第四十六条.</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辽宁省药品网络销售监督管理办法实施细则. 2024. 第二章第九条.</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辽宁省药品网络销售监督管理办法实施细则（征求意见稿）. 2024-09-25. 第二章第七条.</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北京市药品监督管理局. 北京市药品零售企业许可管理规定. 2025-02-25. 第二十七条.</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江西省药品监督管理局. 江西省药品网络销售监督管理办法实施细则（赣药监规〔2024〕11号）. 2024. 第十二条.</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医药魔方. 重磅新规！连锁总部"旗舰店"网络售药被叫停. 2025-04-03. https://mp.weixin.qq.com/s?__biz=MjM5ODQyOTQ4MA==&amp;mid=2652564878&amp;idx=3&amp;sn=6eeddaf3eb57c6a3dd4b8de01ab0c3f1</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湖南省药品网络销售监督管理实施办法. 2024-06.</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新华网. 北京出台细则规范药品网络销售. 2023-11-01.</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国家药监局综合司. 关于印发处方药网络零售合规指南的通知（药监综药管函〔2026〕282号）. 2026-05-22.</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北京商报. 国家药监局：网络购买处方药实行实名制，严禁AI审方. 2026-05-25. http://www.bbtnews.com.cn/2026/0525/594274.shtml</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国家药监局. 处方药网络零售合规指南. 2026-05-25. 第三章第十二条.</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南方日报. 网售处方药行业迎深度洗牌. 2026-06-05. https://epaper.nfnews.com/nfdaily/html/202606/05/content_10172275.html</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虎嗅. 国家药监局发布《处方药网络零售合规指南》，严禁AI替代审方. 2026-05-26. https://www.huxiu.com/article/4861667.html</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腾讯新闻. 严惩！药店被罚没1600万元，原因是~. 2025-01-19. https://news.qq.com/rain/a/20250119A070L200</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南方+. 罚款130万！惠州一药店被国家药监局通报. 2025-06-12. https://static.nfnews.com/content/202506/26/c11441342.html</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中国药店. 网售药品未报告被罚2万！药店该如何避免？. 2025-08-12. http://www.ydzz.com/news.php?col=67&amp;file=67458</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泉州市惠安县市场监管局. 违规购进药品，罚没47万. 2025-06-18. https://mp.weixin.qq.com/s?__biz=MzUxNTgwMTExMg==&amp;mid=2247531501&amp;idx=3&amp;sn=5b9ce5eb31ddcbfc0d70770fead391dd</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中国食品药品网. 双罚制成药品网络销售执法利器. 2026-06-10.</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国家药监局. 药品网络销售违法违规典型案例（第七批）. 2024-12-23.</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江西省药品监督管理局. 关于公布2025年药品网络销售典型案例（第一批）的通告. 2025-08-05.</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行业研报数据. 老百姓O2O门店占比78%（2023年第三季度）；益丰药房O2O直营店占比86%.</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健康界. 国家出手！阿里、京东健康被叫停？. 2022-06-22.</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中康CMH/新浪财经. 日均107家？药店掀起「闭店潮」. 2025-03-20. https://finance.sina.com.cn/roll/2025-03-20/doc-ineqhfms5014849.shtml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米内网/医药经济报. 重磅！全国药店数量达68.37万家（附各省药店数据）. 2025-08-28. https://www.menet.com.cn/info/202508/202508280925182518_149646.shtml</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东方财富网/中康数据. 药店"闭店潮"持续：一年净减2.2万家门店，中小药店加速出局. 2026-05-07. https://finance.eastmoney.com/a/202605063728700570.html</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21世纪经济报道. 药店大考进行时：过去一年关店近4万家，一季度收缩持续. 2025-05-21. https://www.21jingji.com/article/20250521/herald/67b7d63de1adbfefc832b389f2b638e6.html</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商务部/中国医药商业协会. 2024年药品流通行业运行统计分析报告. 2025年4月. https://yplt.mofcom.gov.cn/stat/attach/2024tjfxbg.pdf</w:t>
      </w:r>
      <w:bookmarkEnd w:id="10161"/>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万联证券/东方财富网. 医药改革加快零售药店业态升级分化，大型连锁药店迎新机遇. 2024-12-25. https://pdf.dfcfw.com/pdf/H301_AP202412251641427460_1.pdf</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米内网预测数据. 2024年药店即时零售销售规模487亿元，同比增长31.3%. 2025.</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21世纪经济报道. 医药零售2024年财报："增收不增利"困局下，急寻转型突围路径. 2025-04-30. https://www.21jingji.com/article/20250430/herald/6924ad46f7067787f6fb44a5e55fa5ee.html</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九州通医药集团. O2O亮眼！从九大上市连锁2024年财报，看医药零售行业2025年发展趋势. 2025.</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湖南永州医保自助药房；上海浦东24小时智慧药房医保试点. 地方运营案例. 2024-2025.</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国家药监局. 药食同源目录品种销售属性界定相关政策. 2024-2025.</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赛柏蓝药店. 超5万家药店，关门离场！. 2025-08-16. https://mp.weixin.qq.com/s/9YNwZZUvTjqmF55Px92U-Q</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北京市药品监督管理局. 北京市药品零售企业许可管理规定. 2025. https://swj.beijing.gov.cn/zwgk/szfgb/202505/P020250522654644028537.pdf</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北京商报. 实体药店售卖处方药频现不合规操作. 2024-05-14. https://m.bjnews.com.cn/detail/1715643963129286.html</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中国食品药品网. 双罚制成药品网络销售执法利器. 2026-06-10.</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浙江省智慧药房地方标准；安徽省智慧药房建设指南. 2024.</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长三角"四省一市"跨省委托生产药品监管协作备忘录. 2024.</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国家医保局等四部门《关于加强药品追溯码在医疗保障和工伤保险领域采集应用的通知》. 2025-03-24. https://www.gov.cn/zhengce/202503/content_7015282.htm</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国家医保局新闻发布会. 2025-03-31. https://www.nhsa.gov.cn/</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《中共中央 国务院关于加快建设全国统一大市场的意见》. 2022-04-10. https://www.gov.cn/zhengce/202204/content_5690073.htm</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天津市武清市场监管局核发全市首张跨省《药品经营许可证》. 2023-10-20. https://www.cqn.com.cn/zj/content/2023-10/20/content_8991003.htm</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国家医保局《关于进一步做好定点零售药店纳入门诊统筹管理的通知》及2023年8月数据发布. 2023-02-15.</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华西证券研究所. 零售药店行业深度报告：处方外流持续推进，零售药店集中度提升. 2023-11.</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国家药监局执业药师资格认证中心. 2025年7月全国执业药师注册情况. 2025-08.</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中国药师协会执业药师配备数据；行业综合分析. 2025.</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陕西省药监局《关于加强药品零售企业执业药师管理的通知》. 2019-05-24. https://www.medsci.cn/article/show_article.do?id=94e2166968a6</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湖北省药监局《湖北省执业药师注册管理实施办法》. 2022-01-07. https://cs.cnpharm.com/c/2022-01-14/815548.shtml</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2025年第二十五届中国药师周产业简报. 2025-12-20. https://www.huiyi-123.com/article/4o8k3g8c-179.html</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政策研究员_智慧药房技术. 智慧药房技术标准、监管实践与行业应用调研报告. Dim08. 2026-06-13.</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国家发展改革委、商务部《关于深圳建设中国特色社会主义先行示范区放宽市场准入若干特别措施的意见》. 2022-01-26. https://database.caixin.com/2022-01-26/101835044.html</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政策研究员_行业影响. 政策对药品零售行业的影响与实施效果研究报告. Dim09. 2026-06-13.</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山西省药品零售经营监督管理办法第24条；国家药监局48号公告第9条. 2024-2026.</w:t>
      </w:r>
      <w:bookmarkEnd w:id="10189"/>
    </w:p>
  </w:footnote>
  <w:footnote w:id="410">
    <w:p>
      <w:pPr>
        <w:pStyle w:val="FootnoteText"/>
        <w:spacing w:before="0" w:after="0" w:line="200" w:lineRule="exact"/>
      </w:pPr>
      <w:bookmarkStart w:id="10410" w:name="_Ref_Footnote_410"/>
      <w:r>
        <w:rPr>
          <w:rStyle w:val="FootnoteReference"/>
          <w:vertAlign w:val="superscript"/>
        </w:rPr>
        <w:footnoteRef/>
      </w:r>
      <w:r>
        <w:rPr>
          <w:sz w:val="18"/>
          <w:szCs w:val="18"/>
        </w:rPr>
        <w:t xml:space="preserve"/>
      </w:r>
      <w:bookmarkEnd w:id="10410"/>
    </w:p>
  </w:footnote>
  <w:footnote w:id="1075">
    <w:p>
      <w:pPr>
        <w:pStyle w:val="FootnoteText"/>
        <w:spacing w:before="0" w:after="0" w:line="200" w:lineRule="exact"/>
      </w:pPr>
      <w:bookmarkStart w:id="11075" w:name="_Ref_Footnote_1075"/>
      <w:r>
        <w:rPr>
          <w:rStyle w:val="FootnoteReference"/>
          <w:vertAlign w:val="superscript"/>
        </w:rPr>
        <w:footnoteRef/>
      </w:r>
      <w:r>
        <w:rPr>
          <w:sz w:val="18"/>
          <w:szCs w:val="18"/>
        </w:rPr>
        <w:t xml:space="preserve"/>
      </w:r>
      <w:bookmarkEnd w:id="11075"/>
    </w:p>
  </w:footnote>
  <w:footnote w:id="2928">
    <w:p>
      <w:pPr>
        <w:pStyle w:val="FootnoteText"/>
        <w:spacing w:before="0" w:after="0" w:line="200" w:lineRule="exact"/>
      </w:pPr>
      <w:bookmarkStart w:id="12928" w:name="_Ref_Footnote_2928"/>
      <w:r>
        <w:rPr>
          <w:rStyle w:val="FootnoteReference"/>
          <w:vertAlign w:val="superscript"/>
        </w:rPr>
        <w:footnoteRef/>
      </w:r>
      <w:r>
        <w:rPr>
          <w:sz w:val="18"/>
          <w:szCs w:val="18"/>
        </w:rPr>
        <w:t xml:space="preserve"/>
      </w:r>
      <w:bookmarkEnd w:id="12928"/>
    </w:p>
  </w:footnote>
  <w:footnote w:id="6162">
    <w:p>
      <w:pPr>
        <w:pStyle w:val="FootnoteText"/>
        <w:spacing w:before="0" w:after="0" w:line="200" w:lineRule="exact"/>
      </w:pPr>
      <w:bookmarkStart w:id="16162" w:name="_Ref_Footnote_6162"/>
      <w:r>
        <w:rPr>
          <w:rStyle w:val="FootnoteReference"/>
          <w:vertAlign w:val="superscript"/>
        </w:rPr>
        <w:footnoteRef/>
      </w:r>
      <w:r>
        <w:rPr>
          <w:sz w:val="18"/>
          <w:szCs w:val="18"/>
        </w:rPr>
        <w:t xml:space="preserve"/>
      </w:r>
      <w:bookmarkEnd w:id="16162"/>
    </w:p>
  </w:footnote>
  <w:footnote w:id="7778">
    <w:p>
      <w:pPr>
        <w:pStyle w:val="FootnoteText"/>
        <w:spacing w:before="0" w:after="0" w:line="200" w:lineRule="exact"/>
      </w:pPr>
      <w:bookmarkStart w:id="17778" w:name="_Ref_Footnote_7778"/>
      <w:r>
        <w:rPr>
          <w:rStyle w:val="FootnoteReference"/>
          <w:vertAlign w:val="superscript"/>
        </w:rPr>
        <w:footnoteRef/>
      </w:r>
      <w:r>
        <w:rPr>
          <w:sz w:val="18"/>
          <w:szCs w:val="18"/>
        </w:rPr>
        <w:t xml:space="preserve"/>
      </w:r>
      <w:bookmarkEnd w:id="17778"/>
    </w:p>
  </w:footnote>
  <w:footnote w:id="8586">
    <w:p>
      <w:pPr>
        <w:pStyle w:val="FootnoteText"/>
        <w:spacing w:before="0" w:after="0" w:line="200" w:lineRule="exact"/>
      </w:pPr>
      <w:bookmarkStart w:id="18586" w:name="_Ref_Footnote_8586"/>
      <w:r>
        <w:rPr>
          <w:rStyle w:val="FootnoteReference"/>
          <w:vertAlign w:val="superscript"/>
        </w:rPr>
        <w:footnoteRef/>
      </w:r>
      <w:r>
        <w:rPr>
          <w:sz w:val="18"/>
          <w:szCs w:val="18"/>
        </w:rPr>
        <w:t xml:space="preserve"/>
      </w:r>
      <w:bookmarkEnd w:id="18586"/>
    </w:p>
  </w:footnote>
  <w:footnote w:id="8788">
    <w:p>
      <w:pPr>
        <w:pStyle w:val="FootnoteText"/>
        <w:spacing w:before="0" w:after="0" w:line="200" w:lineRule="exact"/>
      </w:pPr>
      <w:bookmarkStart w:id="18788" w:name="_Ref_Footnote_8788"/>
      <w:r>
        <w:rPr>
          <w:rStyle w:val="FootnoteReference"/>
          <w:vertAlign w:val="superscript"/>
        </w:rPr>
        <w:footnoteRef/>
      </w:r>
      <w:r>
        <w:rPr>
          <w:sz w:val="18"/>
          <w:szCs w:val="18"/>
        </w:rPr>
        <w:t xml:space="preserve"/>
      </w:r>
      <w:bookmarkEnd w:id="18788"/>
    </w:p>
  </w:footnote>
  <w:footnote w:id="12345">
    <w:p>
      <w:pPr>
        <w:pStyle w:val="FootnoteText"/>
        <w:spacing w:before="0" w:after="0" w:line="200" w:lineRule="exact"/>
      </w:pPr>
      <w:bookmarkStart w:id="22345" w:name="_Ref_Footnote_12345"/>
      <w:r>
        <w:rPr>
          <w:rStyle w:val="FootnoteReference"/>
          <w:vertAlign w:val="superscript"/>
        </w:rPr>
        <w:footnoteRef/>
      </w:r>
      <w:r>
        <w:rPr>
          <w:sz w:val="18"/>
          <w:szCs w:val="18"/>
        </w:rPr>
        <w:t xml:space="preserve"/>
      </w:r>
      <w:bookmarkEnd w:id="22345"/>
    </w:p>
  </w:footnote>
  <w:footnote w:id="148149">
    <w:p>
      <w:pPr>
        <w:pStyle w:val="FootnoteText"/>
        <w:spacing w:before="0" w:after="0" w:line="200" w:lineRule="exact"/>
      </w:pPr>
      <w:bookmarkStart w:id="158149" w:name="_Ref_Footnote_148149"/>
      <w:r>
        <w:rPr>
          <w:rStyle w:val="FootnoteReference"/>
          <w:vertAlign w:val="superscript"/>
        </w:rPr>
        <w:footnoteRef/>
      </w:r>
      <w:r>
        <w:rPr>
          <w:sz w:val="18"/>
          <w:szCs w:val="18"/>
        </w:rPr>
        <w:t xml:space="preserve"/>
      </w:r>
      <w:bookmarkEnd w:id="158149"/>
    </w:p>
  </w:footnote>
  <w:footnote w:id="1213141516">
    <w:p>
      <w:pPr>
        <w:pStyle w:val="FootnoteText"/>
        <w:spacing w:before="0" w:after="0" w:line="200" w:lineRule="exact"/>
      </w:pPr>
      <w:bookmarkStart w:id="1213151516" w:name="_Ref_Footnote_1213141516"/>
      <w:r>
        <w:rPr>
          <w:rStyle w:val="FootnoteReference"/>
          <w:vertAlign w:val="superscript"/>
        </w:rPr>
        <w:footnoteRef/>
      </w:r>
      <w:r>
        <w:rPr>
          <w:sz w:val="18"/>
          <w:szCs w:val="18"/>
        </w:rPr>
        <w:t xml:space="preserve"/>
      </w:r>
      <w:bookmarkEnd w:id="1213151516"/>
    </w:p>
  </w:footnote>
</w:footnotes>
</file>

<file path=word/numbering.xml><?xml version="1.0" encoding="utf-8"?>
<w:numbering xmlns:w="http://schemas.openxmlformats.org/wordprocessingml/2006/main">
  <w:abstractNum w:abstractNumId="990">
    <w:nsid w:val="A990000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8" Target="media/rId28.png"/><Relationship Type="http://schemas.openxmlformats.org/officeDocument/2006/relationships/image" Id="rId93" Target="media/rId93.png"/><Relationship Type="http://schemas.openxmlformats.org/officeDocument/2006/relationships/image" Id="rId127" Target="media/rId127.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2026-06-13T14:12:43Z</dcterms:created>
  <dcterms:modified xsi:type="dcterms:W3CDTF">2026-06-13T14:12:43Z</dcterms:modified>
</cp:coreProperties>
</file>

<file path=docProps/custom.xml><?xml version="1.0" encoding="utf-8"?>
<Properties xmlns="http://schemas.openxmlformats.org/officeDocument/2006/custom-properties" xmlns:vt="http://schemas.openxmlformats.org/officeDocument/2006/docPropsVTypes"/>
</file>