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TASK-010 BAI Development OS</w:t>
      </w:r>
    </w:p>
    <w:p>
      <w:r>
        <w:rPr>
          <w:b/>
          <w:sz w:val="30"/>
        </w:rPr>
        <w:t>Release, Distribution &amp; Consumer Upgrade OS — Detailed Design Ver.1.0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EDEDED"/>
          </w:tcPr>
          <w:p>
            <w:r>
              <w:t>Item</w:t>
            </w:r>
          </w:p>
        </w:tc>
        <w:tc>
          <w:tcPr>
            <w:tcW w:type="dxa" w:w="6912"/>
            <w:shd w:fill="EDEDED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6912"/>
          </w:tcPr>
          <w:p>
            <w:r>
              <w:t>TASK-010 — Release, Distribution &amp; Consumer Upgrade OS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6912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6912"/>
          </w:tcPr>
          <w:p>
            <w:r>
              <w:t>CURRENT_CANONICAL / COMPLETED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6912"/>
          </w:tcPr>
          <w:p>
            <w:r>
              <w:t>DEV_4_FOUNDATION_CRITICAL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6912"/>
          </w:tcPr>
          <w:p>
            <w:r>
              <w:t>2026-08-08</w:t>
            </w:r>
          </w:p>
        </w:tc>
      </w:tr>
      <w:tr>
        <w:tc>
          <w:tcPr>
            <w:tcW w:type="dxa" w:w="2880"/>
          </w:tcPr>
          <w:p>
            <w:r>
              <w:t>Root</w:t>
            </w:r>
          </w:p>
        </w:tc>
        <w:tc>
          <w:tcPr>
            <w:tcW w:type="dxa" w:w="6912"/>
          </w:tcPr>
          <w:p>
            <w:r>
              <w:t>/home/baisound/bai-development-os</w:t>
            </w:r>
          </w:p>
        </w:tc>
      </w:tr>
    </w:tbl>
    <w:p>
      <w:pPr>
        <w:pStyle w:val="Heading1"/>
      </w:pPr>
      <w:r>
        <w:t>1. Purpose and Authority Boundary</w:t>
      </w:r>
    </w:p>
    <w:p>
      <w:pPr>
        <w:pStyle w:val="ListBullet"/>
      </w:pPr>
      <w:r>
        <w:t>ReleaseOS owns release metadata, compatibility, migration planning, signed bundles and local release mutation.</w:t>
      </w:r>
    </w:p>
    <w:p>
      <w:pPr>
        <w:pStyle w:val="ListBullet"/>
      </w:pPr>
      <w:r>
        <w:t>It does not grant Owner authority, weaken SecurityOS, rewrite historical evidence, or publish externally without TASK-008-authorized side effects.</w:t>
      </w:r>
    </w:p>
    <w:p>
      <w:pPr>
        <w:pStyle w:val="Heading1"/>
      </w:pPr>
      <w:r>
        <w:t>2. Internal Phase Roadmap</w:t>
      </w:r>
    </w:p>
    <w:p>
      <w:pPr>
        <w:pStyle w:val="ListBullet"/>
      </w:pPr>
      <w:r>
        <w:t>1 SemVer / identity</w:t>
      </w:r>
    </w:p>
    <w:p>
      <w:pPr>
        <w:pStyle w:val="ListBullet"/>
      </w:pPr>
      <w:r>
        <w:t>2 Release Manifest</w:t>
      </w:r>
    </w:p>
    <w:p>
      <w:pPr>
        <w:pStyle w:val="ListBullet"/>
      </w:pPr>
      <w:r>
        <w:t>3 Trust Anchor</w:t>
      </w:r>
    </w:p>
    <w:p>
      <w:pPr>
        <w:pStyle w:val="ListBullet"/>
      </w:pPr>
      <w:r>
        <w:t>4 Signing Ceremony</w:t>
      </w:r>
    </w:p>
    <w:p>
      <w:pPr>
        <w:pStyle w:val="ListBullet"/>
      </w:pPr>
      <w:r>
        <w:t>5 Offline Bundle</w:t>
      </w:r>
    </w:p>
    <w:p>
      <w:pPr>
        <w:pStyle w:val="ListBullet"/>
      </w:pPr>
      <w:r>
        <w:t>6 Compatibility Matrix</w:t>
      </w:r>
    </w:p>
    <w:p>
      <w:pPr>
        <w:pStyle w:val="ListBullet"/>
      </w:pPr>
      <w:r>
        <w:t>7 Migration / Upgrade Preview</w:t>
      </w:r>
    </w:p>
    <w:p>
      <w:pPr>
        <w:pStyle w:val="ListBullet"/>
      </w:pPr>
      <w:r>
        <w:t>8 Install / Update Transaction</w:t>
      </w:r>
    </w:p>
    <w:p>
      <w:pPr>
        <w:pStyle w:val="ListBullet"/>
      </w:pPr>
      <w:r>
        <w:t>9 Downgrade / Rollback</w:t>
      </w:r>
    </w:p>
    <w:p>
      <w:pPr>
        <w:pStyle w:val="ListBullet"/>
      </w:pPr>
      <w:r>
        <w:t>10 Portable subsystem bundles</w:t>
      </w:r>
    </w:p>
    <w:p>
      <w:pPr>
        <w:pStyle w:val="ListBullet"/>
      </w:pPr>
      <w:r>
        <w:t>11 Repository release planning</w:t>
      </w:r>
    </w:p>
    <w:p>
      <w:pPr>
        <w:pStyle w:val="ListBullet"/>
      </w:pPr>
      <w:r>
        <w:t>12 Cache / Mirror / Registry acquisition</w:t>
      </w:r>
    </w:p>
    <w:p>
      <w:pPr>
        <w:pStyle w:val="ListBullet"/>
      </w:pPr>
      <w:r>
        <w:t>13 Canary gate</w:t>
      </w:r>
    </w:p>
    <w:p>
      <w:pPr>
        <w:pStyle w:val="ListBullet"/>
      </w:pPr>
      <w:r>
        <w:t>14 Diagnostics / Attestation</w:t>
      </w:r>
    </w:p>
    <w:p>
      <w:pPr>
        <w:pStyle w:val="ListBullet"/>
      </w:pPr>
      <w:r>
        <w:t>15 Critic / E2E / Canonical sync</w:t>
      </w:r>
    </w:p>
    <w:p>
      <w:pPr>
        <w:pStyle w:val="Heading1"/>
      </w:pPr>
      <w:r>
        <w:t>3. ReleaseOS Architecture</w:t>
      </w:r>
    </w:p>
    <w:p>
      <w:pPr>
        <w:pStyle w:val="ListBullet"/>
      </w:pPr>
      <w:r>
        <w:t>Strict SemVer, Trust, Manifest, Bundle, Compatibility, Migration, Planner, Checkpoint, Installer, Canary, Diagnostics, Portable bundles, Component locks, Repository plan and Release Service are exported through ReleaseOS.</w:t>
      </w:r>
    </w:p>
    <w:p>
      <w:pPr>
        <w:pStyle w:val="Heading1"/>
      </w:pPr>
      <w:r>
        <w:t>4. Signed Release and Trust Chain</w:t>
      </w:r>
    </w:p>
    <w:p>
      <w:pPr>
        <w:pStyle w:val="ListBullet"/>
      </w:pPr>
      <w:r>
        <w:t>Manifest binds version/channel/artifacts/schemas/compatibility/migrations/security/SBOM/rollback.</w:t>
      </w:r>
    </w:p>
    <w:p>
      <w:pPr>
        <w:pStyle w:val="ListBullet"/>
      </w:pPr>
      <w:r>
        <w:t>First trust bootstrap requires Owner Authorization reference.</w:t>
      </w:r>
    </w:p>
    <w:p>
      <w:pPr>
        <w:pStyle w:val="ListBullet"/>
      </w:pPr>
      <w:r>
        <w:t>Rotation is signed by current key and serialized. Retired keys cannot sign newly-created releases after retirement.</w:t>
      </w:r>
    </w:p>
    <w:p>
      <w:pPr>
        <w:pStyle w:val="Heading1"/>
      </w:pPr>
      <w:r>
        <w:t>5. Offline Distribution and Acquisition</w:t>
      </w:r>
    </w:p>
    <w:p>
      <w:pPr>
        <w:pStyle w:val="ListBullet"/>
      </w:pPr>
      <w:r>
        <w:t>Signed manifest defines the only permitted artifact set. Undeclared or modified files fail.</w:t>
      </w:r>
    </w:p>
    <w:p>
      <w:pPr>
        <w:pStyle w:val="ListBullet"/>
      </w:pPr>
      <w:r>
        <w:t>Verified cache and mirror may be used offline; air-gapped mode never silently falls through to a live registry.</w:t>
      </w:r>
    </w:p>
    <w:p>
      <w:pPr>
        <w:pStyle w:val="Heading1"/>
      </w:pPr>
      <w:r>
        <w:t>6. Compatibility, Migration and Preview</w:t>
      </w:r>
    </w:p>
    <w:p>
      <w:pPr>
        <w:pStyle w:val="ListBullet"/>
      </w:pPr>
      <w:r>
        <w:t>Consumer Adapter, Node, subsystem schemas and Security Profile are evaluated before mutation.</w:t>
      </w:r>
    </w:p>
    <w:p>
      <w:pPr>
        <w:pStyle w:val="ListBullet"/>
      </w:pPr>
      <w:r>
        <w:t>Required migration handler absence blocks. Authorization broadening is rejected. Existing stronger Security Profile cannot be hidden by caller input.</w:t>
      </w:r>
    </w:p>
    <w:p>
      <w:pPr>
        <w:pStyle w:val="Heading1"/>
      </w:pPr>
      <w:r>
        <w:t>7. Install / Update / Downgrade / Rollback</w:t>
      </w:r>
    </w:p>
    <w:p>
      <w:pPr>
        <w:pStyle w:val="ListBullet"/>
      </w:pPr>
      <w:r>
        <w:t>Filesystem release lock serializes local mutation.</w:t>
      </w:r>
    </w:p>
    <w:p>
      <w:pPr>
        <w:pStyle w:val="ListBullet"/>
      </w:pPr>
      <w:r>
        <w:t>Affected files and previous release state are checkpointed. SecurityOS Journal commits install/update.</w:t>
      </w:r>
    </w:p>
    <w:p>
      <w:pPr>
        <w:pStyle w:val="ListBullet"/>
      </w:pPr>
      <w:r>
        <w:t>Downgrade and rollback require Owner Authorization reference. Rollback restores old files and removes newly introduced files.</w:t>
      </w:r>
    </w:p>
    <w:p>
      <w:pPr>
        <w:pStyle w:val="Heading1"/>
      </w:pPr>
      <w:r>
        <w:t>8. Portable Components and Historical Compatibility</w:t>
      </w:r>
    </w:p>
    <w:p>
      <w:pPr>
        <w:pStyle w:val="ListBullet"/>
      </w:pPr>
      <w:r>
        <w:t>Portable bundles support Knowledge, Automation, Monitoring and Connector lock payloads with version/schema/provenance/sensitivity/checksum.</w:t>
      </w:r>
    </w:p>
    <w:p>
      <w:pPr>
        <w:pStyle w:val="ListBullet"/>
      </w:pPr>
      <w:r>
        <w:t>Historical evidence remains readable and is not rewritten in place.</w:t>
      </w:r>
    </w:p>
    <w:p>
      <w:pPr>
        <w:pStyle w:val="Heading1"/>
      </w:pPr>
      <w:r>
        <w:t>9. Repository / Canary / Diagnostics</w:t>
      </w:r>
    </w:p>
    <w:p>
      <w:pPr>
        <w:pStyle w:val="ListBullet"/>
      </w:pPr>
      <w:r>
        <w:t>Repository plan standardizes v&lt;semver&gt; tag, release name, remote/default branch/channel and artifact list; actual publication remains TASK-008 external action.</w:t>
      </w:r>
    </w:p>
    <w:p>
      <w:pPr>
        <w:pStyle w:val="ListBullet"/>
      </w:pPr>
      <w:r>
        <w:t>Canary promotes only with adequate samples, HEALTHY state, zero critical alerts and acceptable error rate.</w:t>
      </w:r>
    </w:p>
    <w:p>
      <w:pPr>
        <w:pStyle w:val="ListBullet"/>
      </w:pPr>
      <w:r>
        <w:t>Diagnostic bundles redact sensitive data; installation attestation re-verifies installed bytes.</w:t>
      </w:r>
    </w:p>
    <w:p>
      <w:pPr>
        <w:pStyle w:val="Heading1"/>
      </w:pPr>
      <w:r>
        <w:t>10. Critic Findings Resolved</w:t>
      </w:r>
    </w:p>
    <w:p>
      <w:pPr>
        <w:pStyle w:val="ListBullet"/>
      </w:pPr>
      <w:r>
        <w:t>Concurrent install/update race closed with filesystem lock.</w:t>
      </w:r>
    </w:p>
    <w:p>
      <w:pPr>
        <w:pStyle w:val="ListBullet"/>
      </w:pPr>
      <w:r>
        <w:t>Trust-anchor update race serialized.</w:t>
      </w:r>
    </w:p>
    <w:p>
      <w:pPr>
        <w:pStyle w:val="ListBullet"/>
      </w:pPr>
      <w:r>
        <w:t>Unsafe manifest paths blocked.</w:t>
      </w:r>
    </w:p>
    <w:p>
      <w:pPr>
        <w:pStyle w:val="ListBullet"/>
      </w:pPr>
      <w:r>
        <w:t>Undeclared bundle files rejected.</w:t>
      </w:r>
    </w:p>
    <w:p>
      <w:pPr>
        <w:pStyle w:val="ListBullet"/>
      </w:pPr>
      <w:r>
        <w:t>Security-profile downgrade bypass closed.</w:t>
      </w:r>
    </w:p>
    <w:p>
      <w:pPr>
        <w:pStyle w:val="ListBullet"/>
      </w:pPr>
      <w:r>
        <w:t>Retired-key new-signature acceptance closed.</w:t>
      </w:r>
    </w:p>
    <w:p>
      <w:pPr>
        <w:pStyle w:val="ListBullet"/>
      </w:pPr>
      <w:r>
        <w:t>Journal API call fixed.</w:t>
      </w:r>
    </w:p>
    <w:p>
      <w:pPr>
        <w:pStyle w:val="ListBullet"/>
      </w:pPr>
      <w:r>
        <w:t>Operation lock separated from component lock.</w:t>
      </w:r>
    </w:p>
    <w:p>
      <w:pPr>
        <w:pStyle w:val="ListBullet"/>
      </w:pPr>
      <w:r>
        <w:t>Portable bundle signature checksum-field collision fixed.</w:t>
      </w:r>
    </w:p>
    <w:p>
      <w:pPr>
        <w:pStyle w:val="Heading1"/>
      </w:pPr>
      <w:r>
        <w:t>11. Residual Ownership</w:t>
      </w:r>
    </w:p>
    <w:p>
      <w:pPr>
        <w:pStyle w:val="ListBullet"/>
      </w:pPr>
      <w:r>
        <w:t>TASK-011: multi-project/platform/provider conformance.</w:t>
      </w:r>
    </w:p>
    <w:p>
      <w:pPr>
        <w:pStyle w:val="ListBullet"/>
      </w:pPr>
      <w:r>
        <w:t>TASK-012: stale lock/fsck/auto-repair.</w:t>
      </w:r>
    </w:p>
    <w:p>
      <w:pPr>
        <w:pStyle w:val="ListBullet"/>
      </w:pPr>
      <w:r>
        <w:t>TASK-013: platform/package-manager/release provider plugins.</w:t>
      </w:r>
    </w:p>
    <w:p>
      <w:pPr>
        <w:pStyle w:val="ListBullet"/>
      </w:pPr>
      <w:r>
        <w:t>TASK-014: canary/rollback/compatibility calibration.</w:t>
      </w:r>
    </w:p>
    <w:p>
      <w:pPr>
        <w:pStyle w:val="ListBullet"/>
      </w:pPr>
      <w:r>
        <w:t>TASK-015: distributed release coordination.</w:t>
      </w:r>
    </w:p>
    <w:p>
      <w:pPr>
        <w:pStyle w:val="Heading1"/>
      </w:pPr>
      <w:r>
        <w:t>12. Verification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fill="EDEDED"/>
          </w:tcPr>
          <w:p>
            <w:r>
              <w:t>Gate</w:t>
            </w:r>
          </w:p>
        </w:tc>
        <w:tc>
          <w:tcPr>
            <w:tcW w:type="dxa" w:w="4608"/>
            <w:shd w:fill="EDEDED"/>
          </w:tcPr>
          <w:p>
            <w:r>
              <w:t>Result</w:t>
            </w:r>
          </w:p>
        </w:tc>
      </w:tr>
      <w:tr>
        <w:tc>
          <w:tcPr>
            <w:tcW w:type="dxa" w:w="4608"/>
          </w:tcPr>
          <w:p>
            <w:r>
              <w:t>TASK-010</w:t>
            </w:r>
          </w:p>
        </w:tc>
        <w:tc>
          <w:tcPr>
            <w:tcW w:type="dxa" w:w="4608"/>
          </w:tcPr>
          <w:p>
            <w:r>
              <w:t>91 / 91 PASS</w:t>
            </w:r>
          </w:p>
        </w:tc>
      </w:tr>
      <w:tr>
        <w:tc>
          <w:tcPr>
            <w:tcW w:type="dxa" w:w="4608"/>
          </w:tcPr>
          <w:p>
            <w:r>
              <w:t>Full OS</w:t>
            </w:r>
          </w:p>
        </w:tc>
        <w:tc>
          <w:tcPr>
            <w:tcW w:type="dxa" w:w="4608"/>
          </w:tcPr>
          <w:p>
            <w:r>
              <w:t>716 / 716 PASS</w:t>
            </w:r>
          </w:p>
        </w:tc>
      </w:tr>
      <w:tr>
        <w:tc>
          <w:tcPr>
            <w:tcW w:type="dxa" w:w="4608"/>
          </w:tcPr>
          <w:p>
            <w:r>
              <w:t>Consumer</w:t>
            </w:r>
          </w:p>
        </w:tc>
        <w:tc>
          <w:tcPr>
            <w:tcW w:type="dxa" w:w="4608"/>
          </w:tcPr>
          <w:p>
            <w:r>
              <w:t>10 / 10 PASS</w:t>
            </w:r>
          </w:p>
        </w:tc>
      </w:tr>
      <w:tr>
        <w:tc>
          <w:tcPr>
            <w:tcW w:type="dxa" w:w="4608"/>
          </w:tcPr>
          <w:p>
            <w:r>
              <w:t>Boundary</w:t>
            </w:r>
          </w:p>
        </w:tc>
        <w:tc>
          <w:tcPr>
            <w:tcW w:type="dxa" w:w="4608"/>
          </w:tcPr>
          <w:p>
            <w:r>
              <w:t>PASS</w:t>
            </w:r>
          </w:p>
        </w:tc>
      </w:tr>
      <w:tr>
        <w:tc>
          <w:tcPr>
            <w:tcW w:type="dxa" w:w="4608"/>
          </w:tcPr>
          <w:p>
            <w:r>
              <w:t>Roadmap</w:t>
            </w:r>
          </w:p>
        </w:tc>
        <w:tc>
          <w:tcPr>
            <w:tcW w:type="dxa" w:w="4608"/>
          </w:tcPr>
          <w:p>
            <w:r>
              <w:t>39 / 39 PASS</w:t>
            </w:r>
          </w:p>
        </w:tc>
      </w:tr>
      <w:tr>
        <w:tc>
          <w:tcPr>
            <w:tcW w:type="dxa" w:w="4608"/>
          </w:tcPr>
          <w:p>
            <w:r>
              <w:t>Security</w:t>
            </w:r>
          </w:p>
        </w:tc>
        <w:tc>
          <w:tcPr>
            <w:tcW w:type="dxa" w:w="4608"/>
          </w:tcPr>
          <w:p>
            <w:r>
              <w:t>9 schemas PASS</w:t>
            </w:r>
          </w:p>
        </w:tc>
      </w:tr>
      <w:tr>
        <w:tc>
          <w:tcPr>
            <w:tcW w:type="dxa" w:w="4608"/>
          </w:tcPr>
          <w:p>
            <w:r>
              <w:t>Release</w:t>
            </w:r>
          </w:p>
        </w:tc>
        <w:tc>
          <w:tcPr>
            <w:tcW w:type="dxa" w:w="4608"/>
          </w:tcPr>
          <w:p>
            <w:r>
              <w:t>8 schemas PASS</w:t>
            </w:r>
          </w:p>
        </w:tc>
      </w:tr>
      <w:tr>
        <w:tc>
          <w:tcPr>
            <w:tcW w:type="dxa" w:w="4608"/>
          </w:tcPr>
          <w:p>
            <w:r>
              <w:t>Blocking Critic</w:t>
            </w:r>
          </w:p>
        </w:tc>
        <w:tc>
          <w:tcPr>
            <w:tcW w:type="dxa" w:w="4608"/>
          </w:tcPr>
          <w:p>
            <w:r>
              <w:t>0</w:t>
            </w:r>
          </w:p>
        </w:tc>
      </w:tr>
    </w:tbl>
    <w:p>
      <w:pPr>
        <w:pStyle w:val="Heading1"/>
      </w:pPr>
      <w:r>
        <w:t>13. Completion Status</w:t>
      </w:r>
    </w:p>
    <w:p>
      <w:r>
        <w:t>TASK-010 is COMPLETED. TASK-011 — Multi-Project Conformance &amp; Compatibility Lab is NEXT / NOT_STARTED / NOT_AUTHORIZED.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