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TASK-011 BAI Development OS</w:t>
      </w:r>
    </w:p>
    <w:p>
      <w:r>
        <w:rPr>
          <w:b/>
          <w:sz w:val="30"/>
        </w:rPr>
        <w:t>Multi-Project Conformance &amp; Compatibility Lab — Detailed Design Ver.1.0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DEDED"/>
          </w:tcPr>
          <w:p>
            <w:r>
              <w:t>Item</w:t>
            </w:r>
          </w:p>
        </w:tc>
        <w:tc>
          <w:tcPr>
            <w:tcW w:type="dxa" w:w="6912"/>
            <w:shd w:fill="EDEDED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6912"/>
          </w:tcPr>
          <w:p>
            <w:r>
              <w:t>TASK-011 — Multi-Project Conformance &amp; Compatibility Lab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6912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912"/>
          </w:tcPr>
          <w:p>
            <w:r>
              <w:t>CURRENT_CANONICAL / COMPLETED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6912"/>
          </w:tcPr>
          <w:p>
            <w:r>
              <w:t>DEV_4_FOUNDATION_CRITICAL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6912"/>
          </w:tcPr>
          <w:p>
            <w:r>
              <w:t>2026-08-08</w:t>
            </w:r>
          </w:p>
        </w:tc>
      </w:tr>
      <w:tr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6912"/>
          </w:tcPr>
          <w:p>
            <w:r>
              <w:t>/home/baisound/bai-development-os</w:t>
            </w:r>
          </w:p>
        </w:tc>
      </w:tr>
    </w:tbl>
    <w:p>
      <w:pPr>
        <w:pStyle w:val="Heading1"/>
      </w:pPr>
      <w:r>
        <w:t>1. Purpose and Authority Boundary</w:t>
      </w:r>
    </w:p>
    <w:p>
      <w:pPr>
        <w:pStyle w:val="ListBullet"/>
      </w:pPr>
      <w:r>
        <w:t>ConformanceOS turns compatibility, isolation, portability and multi-consumer behavior into machine-verifiable evidence.</w:t>
      </w:r>
    </w:p>
    <w:p>
      <w:pPr>
        <w:pStyle w:val="ListBullet"/>
      </w:pPr>
      <w:r>
        <w:t>It does not grant authority, treat SIMULATED/DECLARED evidence as REAL execution, or run untrusted Consumer code without an explicit trusted/sandbox contract.</w:t>
      </w:r>
    </w:p>
    <w:p>
      <w:pPr>
        <w:pStyle w:val="Heading1"/>
      </w:pPr>
      <w:r>
        <w:t>2. Internal Phase Roadmap</w:t>
      </w:r>
    </w:p>
    <w:p>
      <w:pPr>
        <w:pStyle w:val="ListBullet"/>
      </w:pPr>
      <w:r>
        <w:t>1 vocabulary/evidence levels</w:t>
      </w:r>
    </w:p>
    <w:p>
      <w:pPr>
        <w:pStyle w:val="ListBullet"/>
      </w:pPr>
      <w:r>
        <w:t>2 Consumer Fixture</w:t>
      </w:r>
    </w:p>
    <w:p>
      <w:pPr>
        <w:pStyle w:val="ListBullet"/>
      </w:pPr>
      <w:r>
        <w:t>3 Compatibility Matrix</w:t>
      </w:r>
    </w:p>
    <w:p>
      <w:pPr>
        <w:pStyle w:val="ListBullet"/>
      </w:pPr>
      <w:r>
        <w:t>4 bounded Consumer Contract Runner</w:t>
      </w:r>
    </w:p>
    <w:p>
      <w:pPr>
        <w:pStyle w:val="ListBullet"/>
      </w:pPr>
      <w:r>
        <w:t>5 project isolation</w:t>
      </w:r>
    </w:p>
    <w:p>
      <w:pPr>
        <w:pStyle w:val="ListBullet"/>
      </w:pPr>
      <w:r>
        <w:t>6 fairness/noisy-neighbor</w:t>
      </w:r>
    </w:p>
    <w:p>
      <w:pPr>
        <w:pStyle w:val="ListBullet"/>
      </w:pPr>
      <w:r>
        <w:t>7 provider equivalence/failure matrix</w:t>
      </w:r>
    </w:p>
    <w:p>
      <w:pPr>
        <w:pStyle w:val="ListBullet"/>
      </w:pPr>
      <w:r>
        <w:t>8 release upgrade conformance</w:t>
      </w:r>
    </w:p>
    <w:p>
      <w:pPr>
        <w:pStyle w:val="ListBullet"/>
      </w:pPr>
      <w:r>
        <w:t>9 portability evidence</w:t>
      </w:r>
    </w:p>
    <w:p>
      <w:pPr>
        <w:pStyle w:val="ListBullet"/>
      </w:pPr>
      <w:r>
        <w:t>10 subsystem isolation</w:t>
      </w:r>
    </w:p>
    <w:p>
      <w:pPr>
        <w:pStyle w:val="ListBullet"/>
      </w:pPr>
      <w:r>
        <w:t>11 C0–C5 Certification</w:t>
      </w:r>
    </w:p>
    <w:p>
      <w:pPr>
        <w:pStyle w:val="ListBullet"/>
      </w:pPr>
      <w:r>
        <w:t>12 reference/synthetic fixtures</w:t>
      </w:r>
    </w:p>
    <w:p>
      <w:pPr>
        <w:pStyle w:val="ListBullet"/>
      </w:pPr>
      <w:r>
        <w:t>13 adversarial false-evidence prevention</w:t>
      </w:r>
    </w:p>
    <w:p>
      <w:pPr>
        <w:pStyle w:val="ListBullet"/>
      </w:pPr>
      <w:r>
        <w:t>14 10 JSON Schemas / checker</w:t>
      </w:r>
    </w:p>
    <w:p>
      <w:pPr>
        <w:pStyle w:val="ListBullet"/>
      </w:pPr>
      <w:r>
        <w:t>15 baseline, Critic, regression and canonical sync</w:t>
      </w:r>
    </w:p>
    <w:p>
      <w:pPr>
        <w:pStyle w:val="Heading1"/>
      </w:pPr>
      <w:r>
        <w:t>3. ConformanceOS Architecture</w:t>
      </w:r>
    </w:p>
    <w:p>
      <w:pPr>
        <w:pStyle w:val="ListBullet"/>
      </w:pPr>
      <w:r>
        <w:t>Fixture, Matrix, Runner, Isolation, Fairness, Provider, Upgrade, Portability, Certification, Lab and Service are exported through ConformanceOS.</w:t>
      </w:r>
    </w:p>
    <w:p>
      <w:pPr>
        <w:pStyle w:val="ListBullet"/>
      </w:pPr>
      <w:r>
        <w:t>Results are scoped; certification is not a global claim beyond its evidence.</w:t>
      </w:r>
    </w:p>
    <w:p>
      <w:pPr>
        <w:pStyle w:val="Heading1"/>
      </w:pPr>
      <w:r>
        <w:t>4. Result and Evidence Semantics</w:t>
      </w:r>
    </w:p>
    <w:p>
      <w:pPr>
        <w:pStyle w:val="ListBullet"/>
      </w:pPr>
      <w:r>
        <w:t>Result: PASS / CONDITIONAL / FAIL / NOT_APPLICABLE.</w:t>
      </w:r>
    </w:p>
    <w:p>
      <w:pPr>
        <w:pStyle w:val="ListBullet"/>
      </w:pPr>
      <w:r>
        <w:t>Evidence: REAL / SANDBOX / SIMULATED / DECLARED.</w:t>
      </w:r>
    </w:p>
    <w:p>
      <w:pPr>
        <w:pStyle w:val="ListBullet"/>
      </w:pPr>
      <w:r>
        <w:t>A REAL declaration is not execution proof. C2+ requires successful REAL/SANDBOX Consumer execution.</w:t>
      </w:r>
    </w:p>
    <w:p>
      <w:pPr>
        <w:pStyle w:val="Heading1"/>
      </w:pPr>
      <w:r>
        <w:t>5. Consumer Fixture and Matrix</w:t>
      </w:r>
    </w:p>
    <w:p>
      <w:pPr>
        <w:pStyle w:val="ListBullet"/>
      </w:pPr>
      <w:r>
        <w:t>Fixtures bind project, scale, risk, domains, languages, runtime/shell, OS/arch/filesystem, providers, Consumer Contract, Security namespaces, release versions and evidence.</w:t>
      </w:r>
    </w:p>
    <w:p>
      <w:pPr>
        <w:pStyle w:val="ListBullet"/>
      </w:pPr>
      <w:r>
        <w:t>Matrix checks required coverage and pairwise combinations rather than inferring support from one Consumer.</w:t>
      </w:r>
    </w:p>
    <w:p>
      <w:pPr>
        <w:pStyle w:val="Heading1"/>
      </w:pPr>
      <w:r>
        <w:t>6. Consumer Runner Security Boundary</w:t>
      </w:r>
    </w:p>
    <w:p>
      <w:pPr>
        <w:pStyle w:val="ListBullet"/>
      </w:pPr>
      <w:r>
        <w:t>Allowed modes: NONE, NODE_TEST, NODE_SCRIPT, NPM_SCRIPT.</w:t>
      </w:r>
    </w:p>
    <w:p>
      <w:pPr>
        <w:pStyle w:val="ListBullet"/>
      </w:pPr>
      <w:r>
        <w:t>Execution requires TRUSTED_LOCAL or SANDBOXED; DECLARED_ONLY is never executable evidence.</w:t>
      </w:r>
    </w:p>
    <w:p>
      <w:pPr>
        <w:pStyle w:val="ListBullet"/>
      </w:pPr>
      <w:r>
        <w:t>Node targets use realpath root confinement; execution uses shell:false, timeout and output bounds.</w:t>
      </w:r>
    </w:p>
    <w:p>
      <w:pPr>
        <w:pStyle w:val="Heading1"/>
      </w:pPr>
      <w:r>
        <w:t>7. Isolation, Fairness and Noisy Neighbor</w:t>
      </w:r>
    </w:p>
    <w:p>
      <w:pPr>
        <w:pStyle w:val="ListBullet"/>
      </w:pPr>
      <w:r>
        <w:t>Isolation covers Knowledge, Authority, Startup, Outbox, Monitoring, Credentials, Idempotency, Webhook, Vault, Signer, Trust, Security Policy and Release State.</w:t>
      </w:r>
    </w:p>
    <w:p>
      <w:pPr>
        <w:pStyle w:val="ListBullet"/>
      </w:pPr>
      <w:r>
        <w:t>Weighted fair-capacity probes detect starvation and noisy-neighbor failures without replacing TASK-004 Cost authority.</w:t>
      </w:r>
    </w:p>
    <w:p>
      <w:pPr>
        <w:pStyle w:val="Heading1"/>
      </w:pPr>
      <w:r>
        <w:t>8. Provider / Release / Portability Conformance</w:t>
      </w:r>
    </w:p>
    <w:p>
      <w:pPr>
        <w:pStyle w:val="ListBullet"/>
      </w:pPr>
      <w:r>
        <w:t>Provider compatibility is capability based and includes failure semantics.</w:t>
      </w:r>
    </w:p>
    <w:p>
      <w:pPr>
        <w:pStyle w:val="ListBullet"/>
      </w:pPr>
      <w:r>
        <w:t>Upgrade chains verify direction, migration availability and Security Profile non-weakening.</w:t>
      </w:r>
    </w:p>
    <w:p>
      <w:pPr>
        <w:pStyle w:val="ListBullet"/>
      </w:pPr>
      <w:r>
        <w:t>Portability is target-specific: REAL/SANDBOX can PASS, SIMULATED/DECLARED stays CONDITIONAL, missing target FAILs.</w:t>
      </w:r>
    </w:p>
    <w:p>
      <w:pPr>
        <w:pStyle w:val="Heading1"/>
      </w:pPr>
      <w:r>
        <w:t>9. Certification Levels</w:t>
      </w:r>
    </w:p>
    <w:p>
      <w:pPr>
        <w:pStyle w:val="ListBullet"/>
      </w:pPr>
      <w:r>
        <w:t>C0_UNVERIFIED — no verified evidence</w:t>
      </w:r>
    </w:p>
    <w:p>
      <w:pPr>
        <w:pStyle w:val="ListBullet"/>
      </w:pPr>
      <w:r>
        <w:t>C1_CONTRACT — contract only</w:t>
      </w:r>
    </w:p>
    <w:p>
      <w:pPr>
        <w:pStyle w:val="ListBullet"/>
      </w:pPr>
      <w:r>
        <w:t>C2_SINGLE_PROJECT — one REAL/SANDBOX executed Consumer</w:t>
      </w:r>
    </w:p>
    <w:p>
      <w:pPr>
        <w:pStyle w:val="ListBullet"/>
      </w:pPr>
      <w:r>
        <w:t>C3_MULTI_PROJECT — multiple executed Consumers plus isolation</w:t>
      </w:r>
    </w:p>
    <w:p>
      <w:pPr>
        <w:pStyle w:val="ListBullet"/>
      </w:pPr>
      <w:r>
        <w:t>C4_PORTABLE — C3 plus verified portability targets</w:t>
      </w:r>
    </w:p>
    <w:p>
      <w:pPr>
        <w:pStyle w:val="ListBullet"/>
      </w:pPr>
      <w:r>
        <w:t>C5_ADVERSARIAL — C4 plus adversarial evidence</w:t>
      </w:r>
    </w:p>
    <w:p>
      <w:pPr>
        <w:pStyle w:val="Heading1"/>
      </w:pPr>
      <w:r>
        <w:t>10. Reference Consumers</w:t>
      </w:r>
    </w:p>
    <w:p>
      <w:pPr>
        <w:pStyle w:val="ListBullet"/>
      </w:pPr>
      <w:r>
        <w:t>javascript-roulette: REAL executed Consumer.</w:t>
      </w:r>
    </w:p>
    <w:p>
      <w:pPr>
        <w:pStyle w:val="ListBullet"/>
      </w:pPr>
      <w:r>
        <w:t>core-node: REAL executed Core-critical synthetic Consumer.</w:t>
      </w:r>
    </w:p>
    <w:p>
      <w:pPr>
        <w:pStyle w:val="ListBullet"/>
      </w:pPr>
      <w:r>
        <w:t>makeTikTokGiftMaster: DECLARED reference only; it contributes no execution proof.</w:t>
      </w:r>
    </w:p>
    <w:p>
      <w:pPr>
        <w:pStyle w:val="Heading1"/>
      </w:pPr>
      <w:r>
        <w:t>11. Critic Findings Resolved</w:t>
      </w:r>
    </w:p>
    <w:p>
      <w:pPr>
        <w:pStyle w:val="ListBullet"/>
      </w:pPr>
      <w:r>
        <w:t>Blocked declared REAL from promoting without execution.</w:t>
      </w:r>
    </w:p>
    <w:p>
      <w:pPr>
        <w:pStyle w:val="ListBullet"/>
      </w:pPr>
      <w:r>
        <w:t>Restricted Consumer Runner to fixed modes and trusted/sandboxed contracts.</w:t>
      </w:r>
    </w:p>
    <w:p>
      <w:pPr>
        <w:pStyle w:val="ListBullet"/>
      </w:pPr>
      <w:r>
        <w:t>Confined Node targets to Consumer root using realpath.</w:t>
      </w:r>
    </w:p>
    <w:p>
      <w:pPr>
        <w:pStyle w:val="ListBullet"/>
      </w:pPr>
      <w:r>
        <w:t>Preserved SIMULATED Windows/macOS evidence as CONDITIONAL rather than claiming real support.</w:t>
      </w:r>
    </w:p>
    <w:p>
      <w:pPr>
        <w:pStyle w:val="Heading1"/>
      </w:pPr>
      <w:r>
        <w:t>12. Residual Ownership</w:t>
      </w:r>
    </w:p>
    <w:p>
      <w:pPr>
        <w:pStyle w:val="ListBullet"/>
      </w:pPr>
      <w:r>
        <w:t>TASK-012: fsck/drift/repair of Conformance and other repositories.</w:t>
      </w:r>
    </w:p>
    <w:p>
      <w:pPr>
        <w:pStyle w:val="ListBullet"/>
      </w:pPr>
      <w:r>
        <w:t>TASK-013: plugin/provider/domain Conformance adapters.</w:t>
      </w:r>
    </w:p>
    <w:p>
      <w:pPr>
        <w:pStyle w:val="ListBullet"/>
      </w:pPr>
      <w:r>
        <w:t>TASK-014: evidence-driven coverage/fairness/certification calibration.</w:t>
      </w:r>
    </w:p>
    <w:p>
      <w:pPr>
        <w:pStyle w:val="ListBullet"/>
      </w:pPr>
      <w:r>
        <w:t>TASK-015: distributed/remote-worker Conformance execution.</w:t>
      </w:r>
    </w:p>
    <w:p>
      <w:pPr>
        <w:pStyle w:val="ListBullet"/>
      </w:pPr>
      <w:r>
        <w:t>Additional real platform/provider runs become new certification evidence without reopening TASK-011 core.</w:t>
      </w:r>
    </w:p>
    <w:p>
      <w:pPr>
        <w:pStyle w:val="Heading1"/>
      </w:pPr>
      <w:r>
        <w:t>13. Verification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EDEDED"/>
          </w:tcPr>
          <w:p>
            <w:r>
              <w:t>Gate</w:t>
            </w:r>
          </w:p>
        </w:tc>
        <w:tc>
          <w:tcPr>
            <w:tcW w:type="dxa" w:w="4608"/>
            <w:shd w:fill="EDEDED"/>
          </w:tcPr>
          <w:p>
            <w:r>
              <w:t>Result</w:t>
            </w:r>
          </w:p>
        </w:tc>
      </w:tr>
      <w:tr>
        <w:tc>
          <w:tcPr>
            <w:tcW w:type="dxa" w:w="4608"/>
          </w:tcPr>
          <w:p>
            <w:r>
              <w:t>TASK-011</w:t>
            </w:r>
          </w:p>
        </w:tc>
        <w:tc>
          <w:tcPr>
            <w:tcW w:type="dxa" w:w="4608"/>
          </w:tcPr>
          <w:p>
            <w:r>
              <w:t>101 / 101 PASS</w:t>
            </w:r>
          </w:p>
        </w:tc>
      </w:tr>
      <w:tr>
        <w:tc>
          <w:tcPr>
            <w:tcW w:type="dxa" w:w="4608"/>
          </w:tcPr>
          <w:p>
            <w:r>
              <w:t>Full OS</w:t>
            </w:r>
          </w:p>
        </w:tc>
        <w:tc>
          <w:tcPr>
            <w:tcW w:type="dxa" w:w="4608"/>
          </w:tcPr>
          <w:p>
            <w:r>
              <w:t>821 / 821 PASS</w:t>
            </w:r>
          </w:p>
        </w:tc>
      </w:tr>
      <w:tr>
        <w:tc>
          <w:tcPr>
            <w:tcW w:type="dxa" w:w="4608"/>
          </w:tcPr>
          <w:p>
            <w:r>
              <w:t>Consumer</w:t>
            </w:r>
          </w:p>
        </w:tc>
        <w:tc>
          <w:tcPr>
            <w:tcW w:type="dxa" w:w="4608"/>
          </w:tcPr>
          <w:p>
            <w:r>
              <w:t>10 / 10 PASS</w:t>
            </w:r>
          </w:p>
        </w:tc>
      </w:tr>
      <w:tr>
        <w:tc>
          <w:tcPr>
            <w:tcW w:type="dxa" w:w="4608"/>
          </w:tcPr>
          <w:p>
            <w:r>
              <w:t>Local Certification</w:t>
            </w:r>
          </w:p>
        </w:tc>
        <w:tc>
          <w:tcPr>
            <w:tcW w:type="dxa" w:w="4608"/>
          </w:tcPr>
          <w:p>
            <w:r>
              <w:t>PASS / C3_MULTI_PROJECT</w:t>
            </w:r>
          </w:p>
        </w:tc>
      </w:tr>
      <w:tr>
        <w:tc>
          <w:tcPr>
            <w:tcW w:type="dxa" w:w="4608"/>
          </w:tcPr>
          <w:p>
            <w:r>
              <w:t>Portability</w:t>
            </w:r>
          </w:p>
        </w:tc>
        <w:tc>
          <w:tcPr>
            <w:tcW w:type="dxa" w:w="4608"/>
          </w:tcPr>
          <w:p>
            <w:r>
              <w:t>CONDITIONAL</w:t>
            </w:r>
          </w:p>
        </w:tc>
      </w:tr>
      <w:tr>
        <w:tc>
          <w:tcPr>
            <w:tcW w:type="dxa" w:w="4608"/>
          </w:tcPr>
          <w:p>
            <w:r>
              <w:t>Boundary</w:t>
            </w:r>
          </w:p>
        </w:tc>
        <w:tc>
          <w:tcPr>
            <w:tcW w:type="dxa" w:w="4608"/>
          </w:tcPr>
          <w:p>
            <w:r>
              <w:t>PASS</w:t>
            </w:r>
          </w:p>
        </w:tc>
      </w:tr>
      <w:tr>
        <w:tc>
          <w:tcPr>
            <w:tcW w:type="dxa" w:w="4608"/>
          </w:tcPr>
          <w:p>
            <w:r>
              <w:t>Roadmap</w:t>
            </w:r>
          </w:p>
        </w:tc>
        <w:tc>
          <w:tcPr>
            <w:tcW w:type="dxa" w:w="4608"/>
          </w:tcPr>
          <w:p>
            <w:r>
              <w:t>44 / 44 PASS</w:t>
            </w:r>
          </w:p>
        </w:tc>
      </w:tr>
      <w:tr>
        <w:tc>
          <w:tcPr>
            <w:tcW w:type="dxa" w:w="4608"/>
          </w:tcPr>
          <w:p>
            <w:r>
              <w:t>Security</w:t>
            </w:r>
          </w:p>
        </w:tc>
        <w:tc>
          <w:tcPr>
            <w:tcW w:type="dxa" w:w="4608"/>
          </w:tcPr>
          <w:p>
            <w:r>
              <w:t>9 schemas PASS</w:t>
            </w:r>
          </w:p>
        </w:tc>
      </w:tr>
      <w:tr>
        <w:tc>
          <w:tcPr>
            <w:tcW w:type="dxa" w:w="4608"/>
          </w:tcPr>
          <w:p>
            <w:r>
              <w:t>Release</w:t>
            </w:r>
          </w:p>
        </w:tc>
        <w:tc>
          <w:tcPr>
            <w:tcW w:type="dxa" w:w="4608"/>
          </w:tcPr>
          <w:p>
            <w:r>
              <w:t>8 schemas PASS</w:t>
            </w:r>
          </w:p>
        </w:tc>
      </w:tr>
      <w:tr>
        <w:tc>
          <w:tcPr>
            <w:tcW w:type="dxa" w:w="4608"/>
          </w:tcPr>
          <w:p>
            <w:r>
              <w:t>Conformance</w:t>
            </w:r>
          </w:p>
        </w:tc>
        <w:tc>
          <w:tcPr>
            <w:tcW w:type="dxa" w:w="4608"/>
          </w:tcPr>
          <w:p>
            <w:r>
              <w:t>10 schemas PASS</w:t>
            </w:r>
          </w:p>
        </w:tc>
      </w:tr>
      <w:tr>
        <w:tc>
          <w:tcPr>
            <w:tcW w:type="dxa" w:w="4608"/>
          </w:tcPr>
          <w:p>
            <w:r>
              <w:t>Critic</w:t>
            </w:r>
          </w:p>
        </w:tc>
        <w:tc>
          <w:tcPr>
            <w:tcW w:type="dxa" w:w="4608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Completion</w:t>
            </w:r>
          </w:p>
        </w:tc>
        <w:tc>
          <w:tcPr>
            <w:tcW w:type="dxa" w:w="5040"/>
          </w:tcPr>
          <w:p>
            <w:r>
              <w:t>TASK-011 COMPLETED; TASK-012 NEXT / NOT_STARTED / NOT_AUTHORIZED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