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106ba808ce2e3c0df7670bd62a3bd7263bf2007"/>
    <w:p>
      <w:pPr>
        <w:pStyle w:val="Heading1"/>
      </w:pPr>
      <w:r>
        <w:t xml:space="preserve">BAI Development OS — TASK-015 Distributed Orchestration &amp; Event Fabric — Detailed Design Ver.1.0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1"/>
        </w:numPr>
      </w:pPr>
      <w:r>
        <w:t xml:space="preserve">Task:</w:t>
      </w:r>
      <w:r>
        <w:t xml:space="preserve"> </w:t>
      </w:r>
      <w:r>
        <w:rPr>
          <w:rStyle w:val="VerbatimChar"/>
        </w:rPr>
        <w:t xml:space="preserve">TASK-015</w:t>
      </w:r>
    </w:p>
    <w:p>
      <w:pPr>
        <w:pStyle w:val="Compact"/>
        <w:numPr>
          <w:ilvl w:val="0"/>
          <w:numId w:val="1001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CURRENT_CANONICAL / COMPLETED</w:t>
      </w:r>
    </w:p>
    <w:p>
      <w:pPr>
        <w:pStyle w:val="Compact"/>
        <w:numPr>
          <w:ilvl w:val="0"/>
          <w:numId w:val="1001"/>
        </w:numPr>
      </w:pPr>
      <w:r>
        <w:t xml:space="preserve">Development Profile:</w:t>
      </w:r>
      <w:r>
        <w:t xml:space="preserve"> </w:t>
      </w:r>
      <w:r>
        <w:rPr>
          <w:rStyle w:val="VerbatimChar"/>
        </w:rPr>
        <w:t xml:space="preserve">DEV_4_FOUNDATION_CRITICAL</w:t>
      </w:r>
    </w:p>
    <w:p>
      <w:pPr>
        <w:pStyle w:val="Compact"/>
        <w:numPr>
          <w:ilvl w:val="0"/>
          <w:numId w:val="1001"/>
        </w:numPr>
      </w:pPr>
      <w:r>
        <w:t xml:space="preserve">Parent Architecture:</w:t>
      </w:r>
      <w:r>
        <w:t xml:space="preserve"> </w:t>
      </w:r>
      <w:r>
        <w:rPr>
          <w:rStyle w:val="VerbatimChar"/>
        </w:rPr>
        <w:t xml:space="preserve">BAI Development OS Architecture Ver.2.26</w:t>
      </w:r>
    </w:p>
    <w:p>
      <w:pPr>
        <w:pStyle w:val="Compact"/>
        <w:numPr>
          <w:ilvl w:val="0"/>
          <w:numId w:val="1001"/>
        </w:numPr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2026-08-08</w:t>
      </w:r>
    </w:p>
    <w:p>
      <w:pPr>
        <w:pStyle w:val="Compact"/>
        <w:numPr>
          <w:ilvl w:val="0"/>
          <w:numId w:val="1001"/>
        </w:numPr>
      </w:pPr>
      <w:r>
        <w:t xml:space="preserve">Runtime package:</w:t>
      </w:r>
      <w:r>
        <w:t xml:space="preserve"> </w:t>
      </w:r>
      <w:r>
        <w:rPr>
          <w:rStyle w:val="VerbatimChar"/>
        </w:rPr>
        <w:t xml:space="preserve">bai-development-os@1.0.0</w:t>
      </w:r>
    </w:p>
    <w:p>
      <w:pPr>
        <w:pStyle w:val="Compact"/>
        <w:numPr>
          <w:ilvl w:val="0"/>
          <w:numId w:val="1001"/>
        </w:numPr>
      </w:pPr>
      <w:r>
        <w:t xml:space="preserve">Root export:</w:t>
      </w:r>
      <w:r>
        <w:t xml:space="preserve"> </w:t>
      </w:r>
      <w:r>
        <w:rPr>
          <w:rStyle w:val="VerbatimChar"/>
        </w:rPr>
        <w:t xml:space="preserve">DistributedOS</w:t>
      </w:r>
    </w:p>
    <w:p>
      <w:pPr>
        <w:pStyle w:val="Compact"/>
        <w:numPr>
          <w:ilvl w:val="0"/>
          <w:numId w:val="1001"/>
        </w:numPr>
      </w:pPr>
      <w:r>
        <w:t xml:space="preserve">Subpath export:</w:t>
      </w:r>
      <w:r>
        <w:t xml:space="preserve"> </w:t>
      </w:r>
      <w:r>
        <w:rPr>
          <w:rStyle w:val="VerbatimChar"/>
        </w:rPr>
        <w:t xml:space="preserve">./distributed</w: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TASK-015 is the optional distributed execution and event-fabric layer of BAI Development OS. It extends the local deterministic foundations of TASK-004 through TASK-014 to multi-process, multi-machine and high-scale topologies without replacing their authority, safety, trust or evidence semantics.</w:t>
      </w:r>
    </w:p>
    <w:p>
      <w:pPr>
        <w:pStyle w:val="BodyText"/>
      </w:pPr>
      <w:r>
        <w:t xml:space="preserve">The design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distributed operation mandatory. A single-machine project continues to use LifecycleOS, AutomationOS, MonitoringOS, IntegrationOS, SecurityOS, ReleaseOS, ConformanceOS, MaintenanceOS, ExtensionOS and CalibrationOS directly.</w:t>
      </w:r>
      <w:r>
        <w:t xml:space="preserve"> </w:t>
      </w:r>
      <w:r>
        <w:rPr>
          <w:rStyle w:val="VerbatimChar"/>
        </w:rPr>
        <w:t xml:space="preserve">DistributedService</w:t>
      </w:r>
      <w:r>
        <w:t xml:space="preserve"> </w:t>
      </w:r>
      <w:r>
        <w:t xml:space="preserve">is disabled by default and incurs no durable broker or remote coordination activity until explicitly enabled.</w:t>
      </w:r>
    </w:p>
    <w:bookmarkEnd w:id="21"/>
    <w:bookmarkStart w:id="22" w:name="non-goals"/>
    <w:p>
      <w:pPr>
        <w:pStyle w:val="Heading2"/>
      </w:pPr>
      <w:r>
        <w:t xml:space="preserve">2. Non-goals</w:t>
      </w:r>
    </w:p>
    <w:p>
      <w:pPr>
        <w:pStyle w:val="FirstParagraph"/>
      </w:pPr>
      <w:r>
        <w:t xml:space="preserve">TASK-015 does not:</w:t>
      </w:r>
    </w:p>
    <w:p>
      <w:pPr>
        <w:pStyle w:val="Compact"/>
        <w:numPr>
          <w:ilvl w:val="0"/>
          <w:numId w:val="1002"/>
        </w:numPr>
      </w:pPr>
      <w:r>
        <w:t xml:space="preserve">claim globally exactly-once message delivery;</w:t>
      </w:r>
    </w:p>
    <w:p>
      <w:pPr>
        <w:pStyle w:val="Compact"/>
        <w:numPr>
          <w:ilvl w:val="0"/>
          <w:numId w:val="1002"/>
        </w:numPr>
      </w:pPr>
      <w:r>
        <w:t xml:space="preserve">claim globally atomic transactions across unrelated machines/providers;</w:t>
      </w:r>
    </w:p>
    <w:p>
      <w:pPr>
        <w:pStyle w:val="Compact"/>
        <w:numPr>
          <w:ilvl w:val="0"/>
          <w:numId w:val="1002"/>
        </w:numPr>
      </w:pPr>
      <w:r>
        <w:t xml:space="preserve">replace TASK-004 Lifecycle canonical state;</w:t>
      </w:r>
    </w:p>
    <w:p>
      <w:pPr>
        <w:pStyle w:val="Compact"/>
        <w:numPr>
          <w:ilvl w:val="0"/>
          <w:numId w:val="1002"/>
        </w:numPr>
      </w:pPr>
      <w:r>
        <w:t xml:space="preserve">replace Owner or Policy authorization with worker quorum;</w:t>
      </w:r>
    </w:p>
    <w:p>
      <w:pPr>
        <w:pStyle w:val="Compact"/>
        <w:numPr>
          <w:ilvl w:val="0"/>
          <w:numId w:val="1002"/>
        </w:numPr>
      </w:pPr>
      <w:r>
        <w:t xml:space="preserve">upgrade Evidence authority because it crossed a network;</w:t>
      </w:r>
    </w:p>
    <w:p>
      <w:pPr>
        <w:pStyle w:val="Compact"/>
        <w:numPr>
          <w:ilvl w:val="0"/>
          <w:numId w:val="1002"/>
        </w:numPr>
      </w:pPr>
      <w:r>
        <w:t xml:space="preserve">grant external credentials or provider access;</w:t>
      </w:r>
    </w:p>
    <w:p>
      <w:pPr>
        <w:pStyle w:val="Compact"/>
        <w:numPr>
          <w:ilvl w:val="0"/>
          <w:numId w:val="1002"/>
        </w:numPr>
      </w:pPr>
      <w:r>
        <w:t xml:space="preserve">create a second Security, Release, Maintenance, Extension or Calibration authority path;</w:t>
      </w:r>
    </w:p>
    <w:p>
      <w:pPr>
        <w:pStyle w:val="Compact"/>
        <w:numPr>
          <w:ilvl w:val="0"/>
          <w:numId w:val="1002"/>
        </w:numPr>
      </w:pPr>
      <w:r>
        <w:t xml:space="preserve">require a particular queue, cloud, database or orchestration vendor;</w:t>
      </w:r>
    </w:p>
    <w:p>
      <w:pPr>
        <w:pStyle w:val="Compact"/>
        <w:numPr>
          <w:ilvl w:val="0"/>
          <w:numId w:val="1002"/>
        </w:numPr>
      </w:pPr>
      <w:r>
        <w:t xml:space="preserve">make remote execution a prerequisite for small projects.</w:t>
      </w:r>
    </w:p>
    <w:bookmarkEnd w:id="22"/>
    <w:bookmarkStart w:id="23" w:name="core-architecture"/>
    <w:p>
      <w:pPr>
        <w:pStyle w:val="Heading2"/>
      </w:pPr>
      <w:r>
        <w:t xml:space="preserve">3. Core Architecture</w:t>
      </w:r>
    </w:p>
    <w:p>
      <w:pPr>
        <w:pStyle w:val="FirstParagraph"/>
      </w:pPr>
      <w:r>
        <w:t xml:space="preserve">The implemented path is:</w:t>
      </w:r>
    </w:p>
    <w:p>
      <w:pPr>
        <w:pStyle w:val="BodyText"/>
      </w:pPr>
      <w:r>
        <w:rPr>
          <w:rStyle w:val="VerbatimChar"/>
        </w:rPr>
        <w:t xml:space="preserve">Canonical local OS state → Versioned Distributed Envelope → Durable/Pluggable Transport → Worker capability + attestation selection → Lease/Epoch/Fencing → At-least-once dispatch → Idempotent effect acknowledgement → Trace/Evidence aggregation → Quarantine / Retry / DLQ / Replay / Saga / Rollout recovery</w:t>
      </w:r>
      <w:r>
        <w:t xml:space="preserve">.</w:t>
      </w:r>
    </w:p>
    <w:p>
      <w:pPr>
        <w:pStyle w:val="BodyText"/>
      </w:pPr>
      <w:r>
        <w:t xml:space="preserve">Authority remains outside transport. Transport carries already-authorized work and evidence; it never creates authorization.</w:t>
      </w:r>
    </w:p>
    <w:bookmarkEnd w:id="23"/>
    <w:bookmarkStart w:id="24" w:name="distributed-event-envelope"/>
    <w:p>
      <w:pPr>
        <w:pStyle w:val="Heading2"/>
      </w:pPr>
      <w:r>
        <w:t xml:space="preserve">4. Distributed Event Envelope</w:t>
      </w:r>
    </w:p>
    <w:p>
      <w:pPr>
        <w:pStyle w:val="FirstParagraph"/>
      </w:pPr>
      <w:r>
        <w:rPr>
          <w:rStyle w:val="VerbatimChar"/>
        </w:rPr>
        <w:t xml:space="preserve">createDistributedEventEnvelope()</w:t>
      </w:r>
      <w:r>
        <w:t xml:space="preserve"> </w:t>
      </w:r>
      <w:r>
        <w:t xml:space="preserve">creates immutable checksummed events containing:</w:t>
      </w:r>
    </w:p>
    <w:p>
      <w:pPr>
        <w:pStyle w:val="Compact"/>
        <w:numPr>
          <w:ilvl w:val="0"/>
          <w:numId w:val="1003"/>
        </w:numPr>
      </w:pPr>
      <w:r>
        <w:t xml:space="preserve">event id and event type;</w:t>
      </w:r>
    </w:p>
    <w:p>
      <w:pPr>
        <w:pStyle w:val="Compact"/>
        <w:numPr>
          <w:ilvl w:val="0"/>
          <w:numId w:val="1003"/>
        </w:numPr>
      </w:pPr>
      <w:r>
        <w:t xml:space="preserve">source and source node;</w:t>
      </w:r>
    </w:p>
    <w:p>
      <w:pPr>
        <w:pStyle w:val="Compact"/>
        <w:numPr>
          <w:ilvl w:val="0"/>
          <w:numId w:val="1003"/>
        </w:numPr>
      </w:pPr>
      <w:r>
        <w:t xml:space="preserve">project/task/revision binding;</w:t>
      </w:r>
    </w:p>
    <w:p>
      <w:pPr>
        <w:pStyle w:val="Compact"/>
        <w:numPr>
          <w:ilvl w:val="0"/>
          <w:numId w:val="1003"/>
        </w:numPr>
      </w:pPr>
      <w:r>
        <w:t xml:space="preserve">correlation and causation identity;</w:t>
      </w:r>
    </w:p>
    <w:p>
      <w:pPr>
        <w:pStyle w:val="Compact"/>
        <w:numPr>
          <w:ilvl w:val="0"/>
          <w:numId w:val="1003"/>
        </w:numPr>
      </w:pPr>
      <w:r>
        <w:t xml:space="preserve">partition key and optional sequence;</w:t>
      </w:r>
    </w:p>
    <w:p>
      <w:pPr>
        <w:pStyle w:val="Compact"/>
        <w:numPr>
          <w:ilvl w:val="0"/>
          <w:numId w:val="1003"/>
        </w:numPr>
      </w:pPr>
      <w:r>
        <w:t xml:space="preserve">semantic idempotency key;</w:t>
      </w:r>
    </w:p>
    <w:p>
      <w:pPr>
        <w:pStyle w:val="Compact"/>
        <w:numPr>
          <w:ilvl w:val="0"/>
          <w:numId w:val="1003"/>
        </w:numPr>
      </w:pPr>
      <w:r>
        <w:t xml:space="preserve">UTC observation metadata/time source;</w:t>
      </w:r>
    </w:p>
    <w:p>
      <w:pPr>
        <w:pStyle w:val="Compact"/>
        <w:numPr>
          <w:ilvl w:val="0"/>
          <w:numId w:val="1003"/>
        </w:numPr>
      </w:pPr>
      <w:r>
        <w:t xml:space="preserve">policy version and activation epoch;</w:t>
      </w:r>
    </w:p>
    <w:p>
      <w:pPr>
        <w:pStyle w:val="Compact"/>
        <w:numPr>
          <w:ilvl w:val="0"/>
          <w:numId w:val="1003"/>
        </w:numPr>
      </w:pPr>
      <w:r>
        <w:t xml:space="preserve">Evidence class where applicable;</w:t>
      </w:r>
    </w:p>
    <w:p>
      <w:pPr>
        <w:pStyle w:val="Compact"/>
        <w:numPr>
          <w:ilvl w:val="0"/>
          <w:numId w:val="1003"/>
        </w:numPr>
      </w:pPr>
      <w:r>
        <w:t xml:space="preserve">authorization and worker-attestation references;</w:t>
      </w:r>
    </w:p>
    <w:p>
      <w:pPr>
        <w:pStyle w:val="Compact"/>
        <w:numPr>
          <w:ilvl w:val="0"/>
          <w:numId w:val="1003"/>
        </w:numPr>
      </w:pPr>
      <w:r>
        <w:t xml:space="preserve">deadline and resource budget;</w:t>
      </w:r>
    </w:p>
    <w:p>
      <w:pPr>
        <w:pStyle w:val="Compact"/>
        <w:numPr>
          <w:ilvl w:val="0"/>
          <w:numId w:val="1003"/>
        </w:numPr>
      </w:pPr>
      <w:r>
        <w:t xml:space="preserve">payload and content checksum.</w:t>
      </w:r>
    </w:p>
    <w:p>
      <w:pPr>
        <w:pStyle w:val="FirstParagraph"/>
      </w:pPr>
      <w:r>
        <w:t xml:space="preserve">The envelope is transport-neutral.</w:t>
      </w:r>
      <w:r>
        <w:t xml:space="preserve"> </w:t>
      </w:r>
      <w:r>
        <w:rPr>
          <w:rStyle w:val="VerbatimChar"/>
        </w:rPr>
        <w:t xml:space="preserve">signDistributedEventEnvelope()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verifySignedDistributedEventEnvelope()</w:t>
      </w:r>
      <w:r>
        <w:t xml:space="preserve"> </w:t>
      </w:r>
      <w:r>
        <w:t xml:space="preserve">reuse SecurityOS Ed25519 envelope primitives when cryptographic provenance is required.</w:t>
      </w:r>
    </w:p>
    <w:bookmarkEnd w:id="24"/>
    <w:bookmarkStart w:id="25" w:name="delivery-semantics"/>
    <w:p>
      <w:pPr>
        <w:pStyle w:val="Heading2"/>
      </w:pPr>
      <w:r>
        <w:t xml:space="preserve">5. Delivery Semantics</w:t>
      </w:r>
    </w:p>
    <w:p>
      <w:pPr>
        <w:pStyle w:val="FirstParagraph"/>
      </w:pPr>
      <w:r>
        <w:t xml:space="preserve">The canonical transport contract is</w:t>
      </w:r>
      <w:r>
        <w:t xml:space="preserve"> </w:t>
      </w:r>
      <w:r>
        <w:rPr>
          <w:b/>
          <w:bCs/>
        </w:rPr>
        <w:t xml:space="preserve">at-least-once delivery</w:t>
      </w:r>
      <w:r>
        <w:t xml:space="preserve">. TASK-015 never describes delivery itself as globally exactly once.</w:t>
      </w:r>
    </w:p>
    <w:p>
      <w:pPr>
        <w:pStyle w:val="BodyText"/>
      </w:pPr>
      <w:r>
        <w:t xml:space="preserve">Exactly-once</w:t>
      </w:r>
      <w:r>
        <w:t xml:space="preserve"> </w:t>
      </w:r>
      <w:r>
        <w:rPr>
          <w:b/>
          <w:bCs/>
        </w:rPr>
        <w:t xml:space="preserve">effect</w:t>
      </w:r>
      <w:r>
        <w:t xml:space="preserve"> </w:t>
      </w:r>
      <w:r>
        <w:t xml:space="preserve">is approached by consumer-side semantic idempotency. The reference durable broker records</w:t>
      </w:r>
      <w:r>
        <w:t xml:space="preserve"> </w:t>
      </w:r>
      <w:r>
        <w:rPr>
          <w:rStyle w:val="VerbatimChar"/>
        </w:rPr>
        <w:t xml:space="preserve">(consumer_id, idempotency_key)</w:t>
      </w:r>
      <w:r>
        <w:t xml:space="preserve"> </w:t>
      </w:r>
      <w:r>
        <w:t xml:space="preserve">effect acknowledgements. Re-delivery of an already acknowledged effect returns the prior acknowledgement rather than applying the effect again.</w:t>
      </w:r>
    </w:p>
    <w:p>
      <w:pPr>
        <w:pStyle w:val="BodyText"/>
      </w:pPr>
      <w:r>
        <w:t xml:space="preserve">A different payload/checksum reusing an existing event id or idempotency key is a collision and fails closed.</w:t>
      </w:r>
    </w:p>
    <w:bookmarkEnd w:id="25"/>
    <w:bookmarkStart w:id="26" w:name="durable-reference-broker"/>
    <w:p>
      <w:pPr>
        <w:pStyle w:val="Heading2"/>
      </w:pPr>
      <w:r>
        <w:t xml:space="preserve">6. Durable Reference Broker</w:t>
      </w:r>
    </w:p>
    <w:p>
      <w:pPr>
        <w:pStyle w:val="FirstParagraph"/>
      </w:pPr>
      <w:r>
        <w:t xml:space="preserve">The reference local durable broker persists</w:t>
      </w:r>
      <w:r>
        <w:t xml:space="preserve"> </w:t>
      </w:r>
      <w:r>
        <w:rPr>
          <w:rStyle w:val="VerbatimChar"/>
        </w:rPr>
        <w:t xml:space="preserve">.bai-os/distributed/broker-state.json</w:t>
      </w:r>
      <w:r>
        <w:t xml:space="preserve"> </w:t>
      </w:r>
      <w:r>
        <w:t xml:space="preserve">under SecurityOS trusted-root and atomic-write rules.</w:t>
      </w:r>
    </w:p>
    <w:p>
      <w:pPr>
        <w:pStyle w:val="BodyText"/>
      </w:pPr>
      <w:r>
        <w:t xml:space="preserve">It maintains:</w:t>
      </w:r>
    </w:p>
    <w:p>
      <w:pPr>
        <w:pStyle w:val="Compact"/>
        <w:numPr>
          <w:ilvl w:val="0"/>
          <w:numId w:val="1004"/>
        </w:numPr>
      </w:pPr>
      <w:r>
        <w:t xml:space="preserve">PENDING / IN_FLIGHT / ACKNOWLEDGED / DEAD_LETTER event state;</w:t>
      </w:r>
    </w:p>
    <w:p>
      <w:pPr>
        <w:pStyle w:val="Compact"/>
        <w:numPr>
          <w:ilvl w:val="0"/>
          <w:numId w:val="1004"/>
        </w:numPr>
      </w:pPr>
      <w:r>
        <w:t xml:space="preserve">attempt count and replay count;</w:t>
      </w:r>
    </w:p>
    <w:p>
      <w:pPr>
        <w:pStyle w:val="Compact"/>
        <w:numPr>
          <w:ilvl w:val="0"/>
          <w:numId w:val="1004"/>
        </w:numPr>
      </w:pPr>
      <w:r>
        <w:t xml:space="preserve">claim owner and acknowledgement deadline;</w:t>
      </w:r>
    </w:p>
    <w:p>
      <w:pPr>
        <w:pStyle w:val="Compact"/>
        <w:numPr>
          <w:ilvl w:val="0"/>
          <w:numId w:val="1004"/>
        </w:numPr>
      </w:pPr>
      <w:r>
        <w:t xml:space="preserve">fencing token binding;</w:t>
      </w:r>
    </w:p>
    <w:p>
      <w:pPr>
        <w:pStyle w:val="Compact"/>
        <w:numPr>
          <w:ilvl w:val="0"/>
          <w:numId w:val="1004"/>
        </w:numPr>
      </w:pPr>
      <w:r>
        <w:t xml:space="preserve">effect acknowledgements;</w:t>
      </w:r>
    </w:p>
    <w:p>
      <w:pPr>
        <w:pStyle w:val="Compact"/>
        <w:numPr>
          <w:ilvl w:val="0"/>
          <w:numId w:val="1004"/>
        </w:numPr>
      </w:pPr>
      <w:r>
        <w:t xml:space="preserve">retry/dead-letter state;</w:t>
      </w:r>
    </w:p>
    <w:p>
      <w:pPr>
        <w:pStyle w:val="Compact"/>
        <w:numPr>
          <w:ilvl w:val="0"/>
          <w:numId w:val="1004"/>
        </w:numPr>
      </w:pPr>
      <w:r>
        <w:t xml:space="preserve">a tamper-evident operation hash chain;</w:t>
      </w:r>
    </w:p>
    <w:p>
      <w:pPr>
        <w:pStyle w:val="Compact"/>
        <w:numPr>
          <w:ilvl w:val="0"/>
          <w:numId w:val="1004"/>
        </w:numPr>
      </w:pPr>
      <w:r>
        <w:t xml:space="preserve">whole-state checksum and atomic replacement verification.</w:t>
      </w:r>
    </w:p>
    <w:p>
      <w:pPr>
        <w:pStyle w:val="FirstParagraph"/>
      </w:pPr>
      <w:r>
        <w:t xml:space="preserve">The reference broker is a correctness baseline, not a claim that one JSON document is an appropriate high-scale remote broker.</w:t>
      </w:r>
    </w:p>
    <w:bookmarkEnd w:id="26"/>
    <w:bookmarkStart w:id="27" w:name="transport-adapter-contract"/>
    <w:p>
      <w:pPr>
        <w:pStyle w:val="Heading2"/>
      </w:pPr>
      <w:r>
        <w:t xml:space="preserve">7. Transport Adapter Contract</w:t>
      </w:r>
    </w:p>
    <w:p>
      <w:pPr>
        <w:pStyle w:val="FirstParagraph"/>
      </w:pPr>
      <w:r>
        <w:rPr>
          <w:rStyle w:val="VerbatimChar"/>
        </w:rPr>
        <w:t xml:space="preserve">createDistributedTransportAdapter()</w:t>
      </w:r>
      <w:r>
        <w:t xml:space="preserve"> </w:t>
      </w:r>
      <w:r>
        <w:t xml:space="preserve">standardizes remote/local queue adapters without selecting a vendor. Every adapter exposes publish, claim, acknowledge, fail and health operations and must declare</w:t>
      </w:r>
      <w:r>
        <w:t xml:space="preserve"> </w:t>
      </w:r>
      <w:r>
        <w:rPr>
          <w:rStyle w:val="VerbatimChar"/>
        </w:rPr>
        <w:t xml:space="preserve">AT_LEAST_ONCE</w:t>
      </w:r>
      <w:r>
        <w:t xml:space="preserve"> </w:t>
      </w:r>
      <w:r>
        <w:t xml:space="preserve">delivery.</w:t>
      </w:r>
    </w:p>
    <w:p>
      <w:pPr>
        <w:pStyle w:val="BodyText"/>
      </w:pPr>
      <w:r>
        <w:t xml:space="preserve">A production implementation may bind this contract to a managed queue, database-backed broker, offline-forwarder or another transport, provided the adapter preserves TASK-015 idempotency, authorization, fencing, evidence and failure contracts.</w:t>
      </w:r>
    </w:p>
    <w:bookmarkEnd w:id="27"/>
    <w:bookmarkStart w:id="28" w:name="claim-retry-dead-letter-and-replay"/>
    <w:p>
      <w:pPr>
        <w:pStyle w:val="Heading2"/>
      </w:pPr>
      <w:r>
        <w:t xml:space="preserve">8. Claim, Retry, Dead Letter and Replay</w:t>
      </w:r>
    </w:p>
    <w:p>
      <w:pPr>
        <w:pStyle w:val="FirstParagraph"/>
      </w:pPr>
      <w:r>
        <w:t xml:space="preserve">A consumer claim transitions one event to</w:t>
      </w:r>
      <w:r>
        <w:t xml:space="preserve"> </w:t>
      </w:r>
      <w:r>
        <w:rPr>
          <w:rStyle w:val="VerbatimChar"/>
        </w:rPr>
        <w:t xml:space="preserve">IN_FLIGHT</w:t>
      </w:r>
      <w:r>
        <w:t xml:space="preserve">, increments attempt count and stores an acknowledgement deadline. Failure before the configured attempt ceiling schedules a retry. Exhaustion transitions the event to</w:t>
      </w:r>
      <w:r>
        <w:t xml:space="preserve"> </w:t>
      </w:r>
      <w:r>
        <w:rPr>
          <w:rStyle w:val="VerbatimChar"/>
        </w:rPr>
        <w:t xml:space="preserve">DEAD_LETTER</w:t>
      </w:r>
      <w:r>
        <w:t xml:space="preserve">.</w:t>
      </w:r>
    </w:p>
    <w:p>
      <w:pPr>
        <w:pStyle w:val="BodyText"/>
      </w:pPr>
      <w:r>
        <w:t xml:space="preserve">Expired claims are recovered deterministically. Dead-letter replay is explicit and bounded. A replay limit prevents poison events from creating unbounded replay storms.</w:t>
      </w:r>
    </w:p>
    <w:bookmarkEnd w:id="28"/>
    <w:bookmarkStart w:id="29" w:name="X61231476bd81baaf1c1dc8cd61d4ef5430242f8"/>
    <w:p>
      <w:pPr>
        <w:pStyle w:val="Heading2"/>
      </w:pPr>
      <w:r>
        <w:t xml:space="preserve">9. Worker Identity and Capability Advertisement</w:t>
      </w:r>
    </w:p>
    <w:p>
      <w:pPr>
        <w:pStyle w:val="FirstParagraph"/>
      </w:pPr>
      <w:r>
        <w:t xml:space="preserve">Remote workers publish checksummed advertisements containing worker/node identity, environment fingerprint, capabilities, allowed project set, trust state, attestation reference and optional Provider implementation checksums.</w:t>
      </w:r>
    </w:p>
    <w:p>
      <w:pPr>
        <w:pStyle w:val="BodyText"/>
      </w:pPr>
      <w:r>
        <w:t xml:space="preserve">Trust states are</w:t>
      </w:r>
      <w:r>
        <w:t xml:space="preserve"> </w:t>
      </w:r>
      <w:r>
        <w:rPr>
          <w:rStyle w:val="VerbatimChar"/>
        </w:rPr>
        <w:t xml:space="preserve">ATTESTED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UNATTESTED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.</w:t>
      </w:r>
      <w:r>
        <w:t xml:space="preserve"> </w:t>
      </w:r>
      <w:r>
        <w:rPr>
          <w:rStyle w:val="VerbatimChar"/>
        </w:rPr>
        <w:t xml:space="preserve">ATTESTED</w:t>
      </w:r>
      <w:r>
        <w:t xml:space="preserve"> </w:t>
      </w:r>
      <w:r>
        <w:t xml:space="preserve">requires an attestation reference. Capability eligibility rejects missing capability, disallowed project, revoked worker, required-attestation failure and Provider checksum mismatch.</w:t>
      </w:r>
    </w:p>
    <w:p>
      <w:pPr>
        <w:pStyle w:val="BodyText"/>
      </w:pPr>
      <w:r>
        <w:t xml:space="preserve">The advertisement is a scheduling input; it is not itself a source of Owner authority.</w:t>
      </w:r>
    </w:p>
    <w:bookmarkEnd w:id="29"/>
    <w:bookmarkStart w:id="30" w:name="lease-epoch-and-fencing"/>
    <w:p>
      <w:pPr>
        <w:pStyle w:val="Heading2"/>
      </w:pPr>
      <w:r>
        <w:t xml:space="preserve">10. Lease, Epoch and Fencing</w:t>
      </w:r>
    </w:p>
    <w:p>
      <w:pPr>
        <w:pStyle w:val="FirstParagraph"/>
      </w:pPr>
      <w:r>
        <w:rPr>
          <w:rStyle w:val="VerbatimChar"/>
        </w:rPr>
        <w:t xml:space="preserve">issueDistributedLease()</w:t>
      </w:r>
      <w:r>
        <w:t xml:space="preserve"> </w:t>
      </w:r>
      <w:r>
        <w:t xml:space="preserve">produces scope-bound leases containing owner identity, strictly increasing epoch, unique fencing token and expiry.</w:t>
      </w:r>
    </w:p>
    <w:p>
      <w:pPr>
        <w:pStyle w:val="BodyText"/>
      </w:pPr>
      <w:r>
        <w:t xml:space="preserve">A renewed/ownership-transferred lease must advance epoch. Run leases are bound to</w:t>
      </w:r>
      <w:r>
        <w:t xml:space="preserve"> </w:t>
      </w:r>
      <w:r>
        <w:rPr>
          <w:rStyle w:val="VerbatimChar"/>
        </w:rPr>
        <w:t xml:space="preserve">run:&lt;run_id&gt;</w:t>
      </w:r>
      <w:r>
        <w:t xml:space="preserve">; rollout leases are bound to</w:t>
      </w:r>
      <w:r>
        <w:t xml:space="preserve"> </w:t>
      </w:r>
      <w:r>
        <w:rPr>
          <w:rStyle w:val="VerbatimChar"/>
        </w:rPr>
        <w:t xml:space="preserve">rollout:&lt;rollout_id&gt;</w:t>
      </w:r>
      <w:r>
        <w:t xml:space="preserve">. A token from another run or stale epoch is rejected.</w:t>
      </w:r>
    </w:p>
    <w:p>
      <w:pPr>
        <w:pStyle w:val="BodyText"/>
      </w:pPr>
      <w:r>
        <w:t xml:space="preserve">This prevents a stale coordinator/worker from continuing authoritative work after ownership transfer.</w:t>
      </w:r>
    </w:p>
    <w:bookmarkEnd w:id="30"/>
    <w:bookmarkStart w:id="31" w:name="remote-run-contract"/>
    <w:p>
      <w:pPr>
        <w:pStyle w:val="Heading2"/>
      </w:pPr>
      <w:r>
        <w:t xml:space="preserve">11. Remote Run Contract</w:t>
      </w:r>
    </w:p>
    <w:p>
      <w:pPr>
        <w:pStyle w:val="FirstParagraph"/>
      </w:pPr>
      <w:r>
        <w:rPr>
          <w:rStyle w:val="VerbatimChar"/>
        </w:rPr>
        <w:t xml:space="preserve">createRemoteRunRequest()</w:t>
      </w:r>
      <w:r>
        <w:t xml:space="preserve"> </w:t>
      </w:r>
      <w:r>
        <w:t xml:space="preserve">supports Conformance, Calibration Counterfactual/Shadow, Extension, Maintenance, Integration, Release and generic remote jobs.</w:t>
      </w:r>
    </w:p>
    <w:p>
      <w:pPr>
        <w:pStyle w:val="BodyText"/>
      </w:pPr>
      <w:r>
        <w:t xml:space="preserve">Requests bind:</w:t>
      </w:r>
    </w:p>
    <w:p>
      <w:pPr>
        <w:pStyle w:val="Compact"/>
        <w:numPr>
          <w:ilvl w:val="0"/>
          <w:numId w:val="1005"/>
        </w:numPr>
      </w:pPr>
      <w:r>
        <w:t xml:space="preserve">run and idempotency identity;</w:t>
      </w:r>
    </w:p>
    <w:p>
      <w:pPr>
        <w:pStyle w:val="Compact"/>
        <w:numPr>
          <w:ilvl w:val="0"/>
          <w:numId w:val="1005"/>
        </w:numPr>
      </w:pPr>
      <w:r>
        <w:t xml:space="preserve">project/task/correlation;</w:t>
      </w:r>
    </w:p>
    <w:p>
      <w:pPr>
        <w:pStyle w:val="Compact"/>
        <w:numPr>
          <w:ilvl w:val="0"/>
          <w:numId w:val="1005"/>
        </w:numPr>
      </w:pPr>
      <w:r>
        <w:t xml:space="preserve">exact subject checksum;</w:t>
      </w:r>
    </w:p>
    <w:p>
      <w:pPr>
        <w:pStyle w:val="Compact"/>
        <w:numPr>
          <w:ilvl w:val="0"/>
          <w:numId w:val="1005"/>
        </w:numPr>
      </w:pPr>
      <w:r>
        <w:t xml:space="preserve">policy/trust versions;</w:t>
      </w:r>
    </w:p>
    <w:p>
      <w:pPr>
        <w:pStyle w:val="Compact"/>
        <w:numPr>
          <w:ilvl w:val="0"/>
          <w:numId w:val="1005"/>
        </w:numPr>
      </w:pPr>
      <w:r>
        <w:t xml:space="preserve">activation epoch;</w:t>
      </w:r>
    </w:p>
    <w:p>
      <w:pPr>
        <w:pStyle w:val="Compact"/>
        <w:numPr>
          <w:ilvl w:val="0"/>
          <w:numId w:val="1005"/>
        </w:numPr>
      </w:pPr>
      <w:r>
        <w:t xml:space="preserve">worker capabilities/attestation requirements;</w:t>
      </w:r>
    </w:p>
    <w:p>
      <w:pPr>
        <w:pStyle w:val="Compact"/>
        <w:numPr>
          <w:ilvl w:val="0"/>
          <w:numId w:val="1005"/>
        </w:numPr>
      </w:pPr>
      <w:r>
        <w:t xml:space="preserve">Provider checksums;</w:t>
      </w:r>
    </w:p>
    <w:p>
      <w:pPr>
        <w:pStyle w:val="Compact"/>
        <w:numPr>
          <w:ilvl w:val="0"/>
          <w:numId w:val="1005"/>
        </w:numPr>
      </w:pPr>
      <w:r>
        <w:t xml:space="preserve">authorization reference;</w:t>
      </w:r>
    </w:p>
    <w:p>
      <w:pPr>
        <w:pStyle w:val="Compact"/>
        <w:numPr>
          <w:ilvl w:val="0"/>
          <w:numId w:val="1005"/>
        </w:numPr>
      </w:pPr>
      <w:r>
        <w:t xml:space="preserve">deadline and resource budget.</w:t>
      </w:r>
    </w:p>
    <w:p>
      <w:pPr>
        <w:pStyle w:val="FirstParagraph"/>
      </w:pPr>
      <w:r>
        <w:rPr>
          <w:rStyle w:val="VerbatimChar"/>
        </w:rPr>
        <w:t xml:space="preserve">createRemoteRunResult()</w:t>
      </w:r>
      <w:r>
        <w:t xml:space="preserve"> </w:t>
      </w:r>
      <w:r>
        <w:t xml:space="preserve">binds the result back to the exact request and exact worker/environment fingerprint.</w:t>
      </w:r>
    </w:p>
    <w:bookmarkEnd w:id="31"/>
    <w:bookmarkStart w:id="32" w:name="evidence-classification-and-remote-trust"/>
    <w:p>
      <w:pPr>
        <w:pStyle w:val="Heading2"/>
      </w:pPr>
      <w:r>
        <w:t xml:space="preserve">12. Evidence Classification and Remote Trust</w:t>
      </w:r>
    </w:p>
    <w:p>
      <w:pPr>
        <w:pStyle w:val="FirstParagraph"/>
      </w:pPr>
      <w:r>
        <w:t xml:space="preserve">Remote location never upgrades Evidence class. A REAL remote result requires an</w:t>
      </w:r>
      <w:r>
        <w:t xml:space="preserve"> </w:t>
      </w:r>
      <w:r>
        <w:rPr>
          <w:rStyle w:val="VerbatimChar"/>
        </w:rPr>
        <w:t xml:space="preserve">ATTESTED</w:t>
      </w:r>
      <w:r>
        <w:t xml:space="preserve"> </w:t>
      </w:r>
      <w:r>
        <w:t xml:space="preserve">worker. SANDBOX, SIMULATED and DECLARED results retain their original class.</w:t>
      </w:r>
    </w:p>
    <w:p>
      <w:pPr>
        <w:pStyle w:val="BodyText"/>
      </w:pPr>
      <w:r>
        <w:t xml:space="preserve">The transport layer does not convert simulation into real execution, nor does a worker vote make evidence authoritative.</w:t>
      </w:r>
    </w:p>
    <w:bookmarkEnd w:id="32"/>
    <w:bookmarkStart w:id="33" w:name="late-result-quarantine"/>
    <w:p>
      <w:pPr>
        <w:pStyle w:val="Heading2"/>
      </w:pPr>
      <w:r>
        <w:t xml:space="preserve">13. Late Result Quarantine</w:t>
      </w:r>
    </w:p>
    <w:p>
      <w:pPr>
        <w:pStyle w:val="FirstParagraph"/>
      </w:pPr>
      <w:r>
        <w:rPr>
          <w:rStyle w:val="VerbatimChar"/>
        </w:rPr>
        <w:t xml:space="preserve">evaluateRemoteResultFreshness()</w:t>
      </w:r>
      <w:r>
        <w:t xml:space="preserve"> </w:t>
      </w:r>
      <w:r>
        <w:t xml:space="preserve">explicitly quarantines results when any relevant state changed in flight:</w:t>
      </w:r>
    </w:p>
    <w:p>
      <w:pPr>
        <w:pStyle w:val="Compact"/>
        <w:numPr>
          <w:ilvl w:val="0"/>
          <w:numId w:val="1006"/>
        </w:numPr>
      </w:pPr>
      <w:r>
        <w:t xml:space="preserve">subject/binding checksum;</w:t>
      </w:r>
    </w:p>
    <w:p>
      <w:pPr>
        <w:pStyle w:val="Compact"/>
        <w:numPr>
          <w:ilvl w:val="0"/>
          <w:numId w:val="1006"/>
        </w:numPr>
      </w:pPr>
      <w:r>
        <w:t xml:space="preserve">policy version;</w:t>
      </w:r>
    </w:p>
    <w:p>
      <w:pPr>
        <w:pStyle w:val="Compact"/>
        <w:numPr>
          <w:ilvl w:val="0"/>
          <w:numId w:val="1006"/>
        </w:numPr>
      </w:pPr>
      <w:r>
        <w:t xml:space="preserve">trust version;</w:t>
      </w:r>
    </w:p>
    <w:p>
      <w:pPr>
        <w:pStyle w:val="Compact"/>
        <w:numPr>
          <w:ilvl w:val="0"/>
          <w:numId w:val="1006"/>
        </w:numPr>
      </w:pPr>
      <w:r>
        <w:t xml:space="preserve">activation epoch;</w:t>
      </w:r>
    </w:p>
    <w:p>
      <w:pPr>
        <w:pStyle w:val="Compact"/>
        <w:numPr>
          <w:ilvl w:val="0"/>
          <w:numId w:val="1006"/>
        </w:numPr>
      </w:pPr>
      <w:r>
        <w:t xml:space="preserve">lease epoch;</w:t>
      </w:r>
    </w:p>
    <w:p>
      <w:pPr>
        <w:pStyle w:val="Compact"/>
        <w:numPr>
          <w:ilvl w:val="0"/>
          <w:numId w:val="1006"/>
        </w:numPr>
      </w:pPr>
      <w:r>
        <w:t xml:space="preserve">fencing token;</w:t>
      </w:r>
    </w:p>
    <w:p>
      <w:pPr>
        <w:pStyle w:val="Compact"/>
        <w:numPr>
          <w:ilvl w:val="0"/>
          <w:numId w:val="1006"/>
        </w:numPr>
      </w:pPr>
      <w:r>
        <w:t xml:space="preserve">request deadline;</w:t>
      </w:r>
    </w:p>
    <w:p>
      <w:pPr>
        <w:pStyle w:val="Compact"/>
        <w:numPr>
          <w:ilvl w:val="0"/>
          <w:numId w:val="1006"/>
        </w:numPr>
      </w:pPr>
      <w:r>
        <w:t xml:space="preserve">worker revocation.</w:t>
      </w:r>
    </w:p>
    <w:p>
      <w:pPr>
        <w:pStyle w:val="FirstParagraph"/>
      </w:pPr>
      <w:r>
        <w:t xml:space="preserve">Late data remains available as evidence/diagnostic material but cannot silently become current authoritative output.</w:t>
      </w:r>
    </w:p>
    <w:bookmarkEnd w:id="33"/>
    <w:bookmarkStart w:id="34" w:name="distributed-trace-and-metric-aggregation"/>
    <w:p>
      <w:pPr>
        <w:pStyle w:val="Heading2"/>
      </w:pPr>
      <w:r>
        <w:t xml:space="preserve">14. Distributed Trace and Metric Aggregation</w:t>
      </w:r>
    </w:p>
    <w:p>
      <w:pPr>
        <w:pStyle w:val="FirstParagraph"/>
      </w:pPr>
      <w:r>
        <w:t xml:space="preserve">Distributed Event Envelopes carry correlation/causation and time-source fields so monitoring does not infer causality from wall-clock timestamps alone.</w:t>
      </w:r>
    </w:p>
    <w:p>
      <w:pPr>
        <w:pStyle w:val="BodyText"/>
      </w:pPr>
      <w:r>
        <w:rPr>
          <w:rStyle w:val="VerbatimChar"/>
        </w:rPr>
        <w:t xml:space="preserve">aggregateDistributedMetric()</w:t>
      </w:r>
      <w:r>
        <w:t xml:space="preserve"> </w:t>
      </w:r>
      <w:r>
        <w:t xml:space="preserve">provides:</w:t>
      </w:r>
    </w:p>
    <w:p>
      <w:pPr>
        <w:pStyle w:val="Compact"/>
        <w:numPr>
          <w:ilvl w:val="0"/>
          <w:numId w:val="1007"/>
        </w:numPr>
      </w:pPr>
      <w:r>
        <w:t xml:space="preserve">idempotent duplicate suppression;</w:t>
      </w:r>
    </w:p>
    <w:p>
      <w:pPr>
        <w:pStyle w:val="Compact"/>
        <w:numPr>
          <w:ilvl w:val="0"/>
          <w:numId w:val="1007"/>
        </w:numPr>
      </w:pPr>
      <w:r>
        <w:t xml:space="preserve">collision rejection;</w:t>
      </w:r>
    </w:p>
    <w:p>
      <w:pPr>
        <w:pStyle w:val="Compact"/>
        <w:numPr>
          <w:ilvl w:val="0"/>
          <w:numId w:val="1007"/>
        </w:numPr>
      </w:pPr>
      <w:r>
        <w:t xml:space="preserve">observed/missing source coverage;</w:t>
      </w:r>
    </w:p>
    <w:p>
      <w:pPr>
        <w:pStyle w:val="Compact"/>
        <w:numPr>
          <w:ilvl w:val="0"/>
          <w:numId w:val="1007"/>
        </w:numPr>
      </w:pPr>
      <w:r>
        <w:t xml:space="preserve">partition uncertainty;</w:t>
      </w:r>
    </w:p>
    <w:p>
      <w:pPr>
        <w:pStyle w:val="Compact"/>
        <w:numPr>
          <w:ilvl w:val="0"/>
          <w:numId w:val="1007"/>
        </w:numPr>
      </w:pPr>
      <w:r>
        <w:t xml:space="preserve">maximum absolute clock-skew metadata;</w:t>
      </w:r>
    </w:p>
    <w:p>
      <w:pPr>
        <w:pStyle w:val="Compact"/>
        <w:numPr>
          <w:ilvl w:val="0"/>
          <w:numId w:val="1007"/>
        </w:numPr>
      </w:pPr>
      <w:r>
        <w:t xml:space="preserve">mean and P95 aggregation;</w:t>
      </w:r>
    </w:p>
    <w:p>
      <w:pPr>
        <w:pStyle w:val="Compact"/>
        <w:numPr>
          <w:ilvl w:val="0"/>
          <w:numId w:val="1007"/>
        </w:numPr>
      </w:pPr>
      <w:r>
        <w:t xml:space="preserve">optional SLI/SLO result.</w:t>
      </w:r>
    </w:p>
    <w:p>
      <w:pPr>
        <w:pStyle w:val="FirstParagraph"/>
      </w:pPr>
      <w:r>
        <w:t xml:space="preserve">Missing workers are represented as missing coverage, not healthy zeroes.</w:t>
      </w:r>
    </w:p>
    <w:bookmarkEnd w:id="34"/>
    <w:bookmarkStart w:id="35" w:name="partition-semantics"/>
    <w:p>
      <w:pPr>
        <w:pStyle w:val="Heading2"/>
      </w:pPr>
      <w:r>
        <w:t xml:space="preserve">15. Partition Semantics</w:t>
      </w:r>
    </w:p>
    <w:p>
      <w:pPr>
        <w:pStyle w:val="FirstParagraph"/>
      </w:pPr>
      <w:r>
        <w:rPr>
          <w:rStyle w:val="VerbatimChar"/>
        </w:rPr>
        <w:t xml:space="preserve">evaluateDistributedPartition()</w:t>
      </w:r>
      <w:r>
        <w:t xml:space="preserve"> </w:t>
      </w:r>
      <w:r>
        <w:t xml:space="preserve">enforces explicit behavior:</w:t>
      </w:r>
    </w:p>
    <w:p>
      <w:pPr>
        <w:pStyle w:val="Compact"/>
        <w:numPr>
          <w:ilvl w:val="0"/>
          <w:numId w:val="1008"/>
        </w:numPr>
      </w:pPr>
      <w:r>
        <w:t xml:space="preserve">if current canonical state is provably current: proceed;</w:t>
      </w:r>
    </w:p>
    <w:p>
      <w:pPr>
        <w:pStyle w:val="Compact"/>
        <w:numPr>
          <w:ilvl w:val="0"/>
          <w:numId w:val="1008"/>
        </w:numPr>
      </w:pPr>
      <w:r>
        <w:t xml:space="preserve">Security/Authority/Trust/Release/Maintenance/external-side-effect-sensitive promotion without current proof: fail closed;</w:t>
      </w:r>
    </w:p>
    <w:p>
      <w:pPr>
        <w:pStyle w:val="Compact"/>
        <w:numPr>
          <w:ilvl w:val="0"/>
          <w:numId w:val="1008"/>
        </w:numPr>
      </w:pPr>
      <w:r>
        <w:t xml:space="preserve">non-sensitive operation may continue already-known-good local state where explicitly allowed;</w:t>
      </w:r>
    </w:p>
    <w:p>
      <w:pPr>
        <w:pStyle w:val="Compact"/>
        <w:numPr>
          <w:ilvl w:val="0"/>
          <w:numId w:val="1008"/>
        </w:numPr>
      </w:pPr>
      <w:r>
        <w:t xml:space="preserve">otherwise defer.</w:t>
      </w:r>
    </w:p>
    <w:p>
      <w:pPr>
        <w:pStyle w:val="FirstParagraph"/>
      </w:pPr>
      <w:r>
        <w:t xml:space="preserve">This prevents network availability from weakening safety policy.</w:t>
      </w:r>
    </w:p>
    <w:bookmarkEnd w:id="35"/>
    <w:bookmarkStart w:id="36" w:name="quota-backpressure-and-cost-boundaries"/>
    <w:p>
      <w:pPr>
        <w:pStyle w:val="Heading2"/>
      </w:pPr>
      <w:r>
        <w:t xml:space="preserve">16. Quota, Backpressure and Cost Boundaries</w:t>
      </w:r>
    </w:p>
    <w:p>
      <w:pPr>
        <w:pStyle w:val="FirstParagraph"/>
      </w:pPr>
      <w:r>
        <w:rPr>
          <w:rStyle w:val="VerbatimChar"/>
        </w:rPr>
        <w:t xml:space="preserve">DistributedQuotaGuard</w:t>
      </w:r>
      <w:r>
        <w:t xml:space="preserve"> </w:t>
      </w:r>
      <w:r>
        <w:t xml:space="preserve">limits queue depth, in-flight operations, replay count and estimated cost reservation. This prevents telemetry floods, replay storms, remote evaluation storms or Provider fan-out from becoming unbounded resource/cost centers.</w:t>
      </w:r>
    </w:p>
    <w:p>
      <w:pPr>
        <w:pStyle w:val="BodyText"/>
      </w:pPr>
      <w:r>
        <w:t xml:space="preserve">The guard is a distributed-layer admission boundary. Actual model/provider accounting continues to use TASK-004 Cost Guard where authoritative cost ledger integration is required.</w:t>
      </w:r>
    </w:p>
    <w:bookmarkEnd w:id="36"/>
    <w:bookmarkStart w:id="37" w:name="saga-and-compensation"/>
    <w:p>
      <w:pPr>
        <w:pStyle w:val="Heading2"/>
      </w:pPr>
      <w:r>
        <w:t xml:space="preserve">17. Saga and Compensation</w:t>
      </w:r>
    </w:p>
    <w:p>
      <w:pPr>
        <w:pStyle w:val="FirstParagraph"/>
      </w:pPr>
      <w:r>
        <w:rPr>
          <w:rStyle w:val="VerbatimChar"/>
        </w:rPr>
        <w:t xml:space="preserve">createDistributedSaga()</w:t>
      </w:r>
      <w:r>
        <w:t xml:space="preserve"> </w:t>
      </w:r>
      <w:r>
        <w:t xml:space="preserve">defines a dependency DAG.</w:t>
      </w:r>
      <w:r>
        <w:t xml:space="preserve"> </w:t>
      </w:r>
      <w:r>
        <w:rPr>
          <w:rStyle w:val="VerbatimChar"/>
        </w:rPr>
        <w:t xml:space="preserve">executeDistributedSaga()</w:t>
      </w:r>
      <w:r>
        <w:t xml:space="preserve"> </w:t>
      </w:r>
      <w:r>
        <w:t xml:space="preserve">executes ready steps and compensates completed steps in reverse order after failure when compensators exist.</w:t>
      </w:r>
    </w:p>
    <w:p>
      <w:pPr>
        <w:pStyle w:val="BodyText"/>
      </w:pPr>
      <w:r>
        <w:t xml:space="preserve">The result distinguishes complete compensation from</w:t>
      </w:r>
      <w:r>
        <w:t xml:space="preserve"> </w:t>
      </w:r>
      <w:r>
        <w:rPr>
          <w:rStyle w:val="VerbatimChar"/>
        </w:rPr>
        <w:t xml:space="preserve">SAGA_RECOVERY_REQUIRED</w:t>
      </w:r>
      <w:r>
        <w:t xml:space="preserve">. TASK-015 does not claim global ACID rollback when underlying providers do not support it.</w:t>
      </w:r>
    </w:p>
    <w:p>
      <w:pPr>
        <w:pStyle w:val="BodyText"/>
      </w:pPr>
      <w:r>
        <w:t xml:space="preserve">Canonical Lifecycle transitions remain TASK-004-owned even when a Saga coordinates several projects.</w:t>
      </w:r>
    </w:p>
    <w:bookmarkEnd w:id="37"/>
    <w:bookmarkStart w:id="38" w:name="staged-canary-rollout"/>
    <w:p>
      <w:pPr>
        <w:pStyle w:val="Heading2"/>
      </w:pPr>
      <w:r>
        <w:t xml:space="preserve">18. Staged / Canary Rollout</w:t>
      </w:r>
    </w:p>
    <w:p>
      <w:pPr>
        <w:pStyle w:val="FirstParagraph"/>
      </w:pPr>
      <w:r>
        <w:rPr>
          <w:rStyle w:val="VerbatimChar"/>
        </w:rPr>
        <w:t xml:space="preserve">createDistributedRolloutPlan()</w:t>
      </w:r>
      <w:r>
        <w:t xml:space="preserve"> </w:t>
      </w:r>
      <w:r>
        <w:t xml:space="preserve">requires:</w:t>
      </w:r>
    </w:p>
    <w:p>
      <w:pPr>
        <w:pStyle w:val="Compact"/>
        <w:numPr>
          <w:ilvl w:val="0"/>
          <w:numId w:val="1009"/>
        </w:numPr>
      </w:pPr>
      <w:r>
        <w:t xml:space="preserve">explicit canary cohort;</w:t>
      </w:r>
    </w:p>
    <w:p>
      <w:pPr>
        <w:pStyle w:val="Compact"/>
        <w:numPr>
          <w:ilvl w:val="0"/>
          <w:numId w:val="1009"/>
        </w:numPr>
      </w:pPr>
      <w:r>
        <w:t xml:space="preserve">target checksum;</w:t>
      </w:r>
    </w:p>
    <w:p>
      <w:pPr>
        <w:pStyle w:val="Compact"/>
        <w:numPr>
          <w:ilvl w:val="0"/>
          <w:numId w:val="1009"/>
        </w:numPr>
      </w:pPr>
      <w:r>
        <w:t xml:space="preserve">Owner authorization reference;</w:t>
      </w:r>
    </w:p>
    <w:p>
      <w:pPr>
        <w:pStyle w:val="Compact"/>
        <w:numPr>
          <w:ilvl w:val="0"/>
          <w:numId w:val="1009"/>
        </w:numPr>
      </w:pPr>
      <w:r>
        <w:t xml:space="preserve">Policy authorization reference;</w:t>
      </w:r>
    </w:p>
    <w:p>
      <w:pPr>
        <w:pStyle w:val="Compact"/>
        <w:numPr>
          <w:ilvl w:val="0"/>
          <w:numId w:val="1009"/>
        </w:numPr>
      </w:pPr>
      <w:r>
        <w:t xml:space="preserve">activation epoch;</w:t>
      </w:r>
    </w:p>
    <w:p>
      <w:pPr>
        <w:pStyle w:val="Compact"/>
        <w:numPr>
          <w:ilvl w:val="0"/>
          <w:numId w:val="1009"/>
        </w:numPr>
      </w:pPr>
      <w:r>
        <w:t xml:space="preserve">bounded parallelism metadata;</w:t>
      </w:r>
    </w:p>
    <w:p>
      <w:pPr>
        <w:pStyle w:val="Compact"/>
        <w:numPr>
          <w:ilvl w:val="0"/>
          <w:numId w:val="1009"/>
        </w:numPr>
      </w:pPr>
      <w:r>
        <w:t xml:space="preserve">soak duration;</w:t>
      </w:r>
    </w:p>
    <w:p>
      <w:pPr>
        <w:pStyle w:val="Compact"/>
        <w:numPr>
          <w:ilvl w:val="0"/>
          <w:numId w:val="1009"/>
        </w:numPr>
      </w:pPr>
      <w:r>
        <w:t xml:space="preserve">optional known-good rollback target.</w:t>
      </w:r>
    </w:p>
    <w:p>
      <w:pPr>
        <w:pStyle w:val="FirstParagraph"/>
      </w:pPr>
      <w:r>
        <w:t xml:space="preserve">Promotion cannot occur before canary PASS and completion of the configured soak window. Regression or failure triggers rollback when a known-good target exists, otherwise the rollout blocks.</w:t>
      </w:r>
    </w:p>
    <w:bookmarkEnd w:id="38"/>
    <w:bookmarkStart w:id="39" w:name="policy-divergence"/>
    <w:p>
      <w:pPr>
        <w:pStyle w:val="Heading2"/>
      </w:pPr>
      <w:r>
        <w:t xml:space="preserve">19. Policy Divergence</w:t>
      </w:r>
    </w:p>
    <w:p>
      <w:pPr>
        <w:pStyle w:val="FirstParagraph"/>
      </w:pPr>
      <w:r>
        <w:rPr>
          <w:rStyle w:val="VerbatimChar"/>
        </w:rPr>
        <w:t xml:space="preserve">detectPolicyDivergence()</w:t>
      </w:r>
      <w:r>
        <w:t xml:space="preserve"> </w:t>
      </w:r>
      <w:r>
        <w:t xml:space="preserve">compares worker policy versions with the canonical activated version and returns an explicit divergent worker set. Mixed policy state is never silently treated as converged.</w:t>
      </w:r>
    </w:p>
    <w:p>
      <w:pPr>
        <w:pStyle w:val="BodyText"/>
      </w:pPr>
      <w:r>
        <w:t xml:space="preserve">Reconciliation means routing workers back toward the canonical authorized version; divergence itself does not authorize a new version.</w:t>
      </w:r>
    </w:p>
    <w:bookmarkEnd w:id="39"/>
    <w:bookmarkStart w:id="40" w:name="distributed-calibrationos"/>
    <w:p>
      <w:pPr>
        <w:pStyle w:val="Heading2"/>
      </w:pPr>
      <w:r>
        <w:t xml:space="preserve">20. Distributed CalibrationOS</w:t>
      </w:r>
    </w:p>
    <w:p>
      <w:pPr>
        <w:pStyle w:val="FirstParagraph"/>
      </w:pPr>
      <w:r>
        <w:t xml:space="preserve">TASK-015 reuses TASK-014 Calibration Evidence objects unchanged inside</w:t>
      </w:r>
      <w:r>
        <w:t xml:space="preserve"> </w:t>
      </w:r>
      <w:r>
        <w:rPr>
          <w:rStyle w:val="VerbatimChar"/>
        </w:rPr>
        <w:t xml:space="preserve">Distributed Calibration Evidence Envelope</w:t>
      </w:r>
      <w:r>
        <w:t xml:space="preserve"> </w:t>
      </w:r>
      <w:r>
        <w:t xml:space="preserve">records.</w:t>
      </w:r>
    </w:p>
    <w:p>
      <w:pPr>
        <w:pStyle w:val="BodyText"/>
      </w:pPr>
      <w:r>
        <w:t xml:space="preserve">The envelope preserves:</w:t>
      </w:r>
    </w:p>
    <w:p>
      <w:pPr>
        <w:pStyle w:val="Compact"/>
        <w:numPr>
          <w:ilvl w:val="0"/>
          <w:numId w:val="1010"/>
        </w:numPr>
      </w:pPr>
      <w:r>
        <w:t xml:space="preserve">original Evidence id/checksum/class;</w:t>
      </w:r>
    </w:p>
    <w:p>
      <w:pPr>
        <w:pStyle w:val="Compact"/>
        <w:numPr>
          <w:ilvl w:val="0"/>
          <w:numId w:val="1010"/>
        </w:numPr>
      </w:pPr>
      <w:r>
        <w:t xml:space="preserve">subsystem/metric/project/task;</w:t>
      </w:r>
    </w:p>
    <w:p>
      <w:pPr>
        <w:pStyle w:val="Compact"/>
        <w:numPr>
          <w:ilvl w:val="0"/>
          <w:numId w:val="1010"/>
        </w:numPr>
      </w:pPr>
      <w:r>
        <w:t xml:space="preserve">source node/worker/cohort;</w:t>
      </w:r>
    </w:p>
    <w:p>
      <w:pPr>
        <w:pStyle w:val="Compact"/>
        <w:numPr>
          <w:ilvl w:val="0"/>
          <w:numId w:val="1010"/>
        </w:numPr>
      </w:pPr>
      <w:r>
        <w:t xml:space="preserve">environment fingerprint;</w:t>
      </w:r>
    </w:p>
    <w:p>
      <w:pPr>
        <w:pStyle w:val="Compact"/>
        <w:numPr>
          <w:ilvl w:val="0"/>
          <w:numId w:val="1010"/>
        </w:numPr>
      </w:pPr>
      <w:r>
        <w:t xml:space="preserve">time source and clock skew;</w:t>
      </w:r>
    </w:p>
    <w:p>
      <w:pPr>
        <w:pStyle w:val="Compact"/>
        <w:numPr>
          <w:ilvl w:val="0"/>
          <w:numId w:val="1010"/>
        </w:numPr>
      </w:pPr>
      <w:r>
        <w:t xml:space="preserve">policy version;</w:t>
      </w:r>
    </w:p>
    <w:p>
      <w:pPr>
        <w:pStyle w:val="Compact"/>
        <w:numPr>
          <w:ilvl w:val="0"/>
          <w:numId w:val="1010"/>
        </w:numPr>
      </w:pPr>
      <w:r>
        <w:t xml:space="preserve">idempotency identity;</w:t>
      </w:r>
    </w:p>
    <w:p>
      <w:pPr>
        <w:pStyle w:val="Compact"/>
        <w:numPr>
          <w:ilvl w:val="0"/>
          <w:numId w:val="1010"/>
        </w:numPr>
      </w:pPr>
      <w:r>
        <w:t xml:space="preserve">worker attestation reference.</w:t>
      </w:r>
    </w:p>
    <w:p>
      <w:pPr>
        <w:pStyle w:val="FirstParagraph"/>
      </w:pPr>
      <w:r>
        <w:rPr>
          <w:rStyle w:val="VerbatimChar"/>
        </w:rPr>
        <w:t xml:space="preserve">aggregateDistributedCalibrationEvidence()</w:t>
      </w:r>
      <w:r>
        <w:t xml:space="preserve"> </w:t>
      </w:r>
      <w:r>
        <w:t xml:space="preserve">deduplicates at-least-once transport and reports cohort coverage/missing cohorts/clock-skew uncertainty while preserving original Evidence authority.</w:t>
      </w:r>
    </w:p>
    <w:bookmarkEnd w:id="40"/>
    <w:bookmarkStart w:id="41" w:name="distributed-calibration-explainability"/>
    <w:p>
      <w:pPr>
        <w:pStyle w:val="Heading2"/>
      </w:pPr>
      <w:r>
        <w:t xml:space="preserve">21. Distributed Calibration Explainability</w:t>
      </w:r>
    </w:p>
    <w:p>
      <w:pPr>
        <w:pStyle w:val="FirstParagraph"/>
      </w:pPr>
      <w:r>
        <w:rPr>
          <w:rStyle w:val="VerbatimChar"/>
        </w:rPr>
        <w:t xml:space="preserve">createDistributedPolicyCandidateEnvelope()</w:t>
      </w:r>
      <w:r>
        <w:t xml:space="preserve"> </w:t>
      </w:r>
      <w:r>
        <w:t xml:space="preserve">binds to the exact TASK-014 Candidate checksum and source report. It carries per-adjustment:</w:t>
      </w:r>
    </w:p>
    <w:p>
      <w:pPr>
        <w:pStyle w:val="Compact"/>
        <w:numPr>
          <w:ilvl w:val="0"/>
          <w:numId w:val="1011"/>
        </w:numPr>
      </w:pPr>
      <w:r>
        <w:t xml:space="preserve">Evidence lineage;</w:t>
      </w:r>
    </w:p>
    <w:p>
      <w:pPr>
        <w:pStyle w:val="Compact"/>
        <w:numPr>
          <w:ilvl w:val="0"/>
          <w:numId w:val="1011"/>
        </w:numPr>
      </w:pPr>
      <w:r>
        <w:t xml:space="preserve">current and proposed values;</w:t>
      </w:r>
    </w:p>
    <w:p>
      <w:pPr>
        <w:pStyle w:val="Compact"/>
        <w:numPr>
          <w:ilvl w:val="0"/>
          <w:numId w:val="1011"/>
        </w:numPr>
      </w:pPr>
      <w:r>
        <w:t xml:space="preserve">confidence;</w:t>
      </w:r>
    </w:p>
    <w:p>
      <w:pPr>
        <w:pStyle w:val="Compact"/>
        <w:numPr>
          <w:ilvl w:val="0"/>
          <w:numId w:val="1011"/>
        </w:numPr>
      </w:pPr>
      <w:r>
        <w:t xml:space="preserve">rationale/diagnostic reason;</w:t>
      </w:r>
    </w:p>
    <w:p>
      <w:pPr>
        <w:pStyle w:val="Compact"/>
        <w:numPr>
          <w:ilvl w:val="0"/>
          <w:numId w:val="1011"/>
        </w:numPr>
      </w:pPr>
      <w:r>
        <w:t xml:space="preserve">Evidence summary where available;</w:t>
      </w:r>
    </w:p>
    <w:p>
      <w:pPr>
        <w:pStyle w:val="Compact"/>
        <w:numPr>
          <w:ilvl w:val="0"/>
          <w:numId w:val="1011"/>
        </w:numPr>
      </w:pPr>
      <w:r>
        <w:t xml:space="preserve">independently recomputed Safety Floor decision.</w:t>
      </w:r>
    </w:p>
    <w:p>
      <w:pPr>
        <w:pStyle w:val="FirstParagraph"/>
      </w:pPr>
      <w:r>
        <w:rPr>
          <w:rStyle w:val="VerbatimChar"/>
        </w:rPr>
        <w:t xml:space="preserve">decomposeDistributedConfidence()</w:t>
      </w:r>
      <w:r>
        <w:t xml:space="preserve"> </w:t>
      </w:r>
      <w:r>
        <w:t xml:space="preserve">keeps confidence inspectable as evidence sufficiency, freshness, coverage and evaluation outcome rather than a single opaque model score.</w:t>
      </w:r>
    </w:p>
    <w:bookmarkEnd w:id="41"/>
    <w:bookmarkStart w:id="42" w:name="X905bc7e8753ce41aebead4ab009a7ffdb8fc828"/>
    <w:p>
      <w:pPr>
        <w:pStyle w:val="Heading2"/>
      </w:pPr>
      <w:r>
        <w:t xml:space="preserve">22. Security / Release / Conformance / Maintenance / Extension Composition</w:t>
      </w:r>
    </w:p>
    <w:p>
      <w:pPr>
        <w:pStyle w:val="FirstParagraph"/>
      </w:pPr>
      <w:r>
        <w:t xml:space="preserve">TASK-015 supplies shared distribution semantics rather than implementing a second copy of each OS:</w:t>
      </w:r>
    </w:p>
    <w:p>
      <w:pPr>
        <w:pStyle w:val="Compact"/>
        <w:numPr>
          <w:ilvl w:val="0"/>
          <w:numId w:val="1012"/>
        </w:numPr>
      </w:pPr>
      <w:r>
        <w:t xml:space="preserve">SecurityOS supplies signing, trust, secret and path-integrity primitives;</w:t>
      </w:r>
    </w:p>
    <w:p>
      <w:pPr>
        <w:pStyle w:val="Compact"/>
        <w:numPr>
          <w:ilvl w:val="0"/>
          <w:numId w:val="1012"/>
        </w:numPr>
      </w:pPr>
      <w:r>
        <w:t xml:space="preserve">ReleaseOS local transactions remain authoritative per consumer while TASK-015 coordinates cohorts and fencing;</w:t>
      </w:r>
    </w:p>
    <w:p>
      <w:pPr>
        <w:pStyle w:val="Compact"/>
        <w:numPr>
          <w:ilvl w:val="0"/>
          <w:numId w:val="1012"/>
        </w:numPr>
      </w:pPr>
      <w:r>
        <w:t xml:space="preserve">ConformanceOS remote REAL evidence requires attested worker/environment binding;</w:t>
      </w:r>
    </w:p>
    <w:p>
      <w:pPr>
        <w:pStyle w:val="Compact"/>
        <w:numPr>
          <w:ilvl w:val="0"/>
          <w:numId w:val="1012"/>
        </w:numPr>
      </w:pPr>
      <w:r>
        <w:t xml:space="preserve">MaintenanceOS remote repair uses run/repair leases, late-result quarantine and partition fail-closed behavior;</w:t>
      </w:r>
    </w:p>
    <w:p>
      <w:pPr>
        <w:pStyle w:val="Compact"/>
        <w:numPr>
          <w:ilvl w:val="0"/>
          <w:numId w:val="1012"/>
        </w:numPr>
      </w:pPr>
      <w:r>
        <w:t xml:space="preserve">ExtensionOS remote execution remains Capability Broker/authorization/sandbox governed; Provider checksum may be advertised and required during worker selection;</w:t>
      </w:r>
    </w:p>
    <w:p>
      <w:pPr>
        <w:pStyle w:val="Compact"/>
        <w:numPr>
          <w:ilvl w:val="0"/>
          <w:numId w:val="1012"/>
        </w:numPr>
      </w:pPr>
      <w:r>
        <w:t xml:space="preserve">IntegrationOS remains the authority for actual external side effects and credentials.</w:t>
      </w:r>
    </w:p>
    <w:bookmarkEnd w:id="42"/>
    <w:bookmarkStart w:id="43" w:name="tamper-evident-checkpoint-receipts"/>
    <w:p>
      <w:pPr>
        <w:pStyle w:val="Heading2"/>
      </w:pPr>
      <w:r>
        <w:t xml:space="preserve">23. Tamper-evident Checkpoint Receipts</w:t>
      </w:r>
    </w:p>
    <w:p>
      <w:pPr>
        <w:pStyle w:val="FirstParagraph"/>
      </w:pPr>
      <w:r>
        <w:rPr>
          <w:rStyle w:val="VerbatimChar"/>
        </w:rPr>
        <w:t xml:space="preserve">createDistributedCheckpointReceipt()</w:t>
      </w:r>
      <w:r>
        <w:t xml:space="preserve"> </w:t>
      </w:r>
      <w:r>
        <w:t xml:space="preserve">records local scope, node, revision/checksum, canonical epoch and previous receipt checksum. The statement explicitly says the receipt is a tamper-evident local receipt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globally atomic ledger.</w:t>
      </w:r>
    </w:p>
    <w:p>
      <w:pPr>
        <w:pStyle w:val="BodyText"/>
      </w:pPr>
      <w:r>
        <w:t xml:space="preserve">This makes the consistency guarantee precise rather than overstating the transport.</w:t>
      </w:r>
    </w:p>
    <w:bookmarkEnd w:id="43"/>
    <w:bookmarkStart w:id="44" w:name="local-first-cost-model"/>
    <w:p>
      <w:pPr>
        <w:pStyle w:val="Heading2"/>
      </w:pPr>
      <w:r>
        <w:t xml:space="preserve">24. Local-first Cost Model</w:t>
      </w:r>
    </w:p>
    <w:p>
      <w:pPr>
        <w:pStyle w:val="FirstParagraph"/>
      </w:pPr>
      <w:r>
        <w:rPr>
          <w:rStyle w:val="VerbatimChar"/>
        </w:rPr>
        <w:t xml:space="preserve">DistributedService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. Distributed publish/claim/ack/replay/health paths fail with</w:t>
      </w:r>
      <w:r>
        <w:t xml:space="preserve"> </w:t>
      </w:r>
      <w:r>
        <w:rPr>
          <w:rStyle w:val="VerbatimChar"/>
        </w:rPr>
        <w:t xml:space="preserve">DISTRIBUTED_MODE_NOT_ENABLED</w:t>
      </w:r>
      <w:r>
        <w:t xml:space="preserve"> </w:t>
      </w:r>
      <w:r>
        <w:t xml:space="preserve">until explicitly activated.</w:t>
      </w:r>
    </w:p>
    <w:p>
      <w:pPr>
        <w:pStyle w:val="BodyText"/>
      </w:pPr>
      <w:r>
        <w:t xml:space="preserve">Therefore a small Consumer does not pay broker, lease, remote scheduling, replication or distributed evaluation cost simply because the package includes TASK-015.</w:t>
      </w:r>
    </w:p>
    <w:bookmarkEnd w:id="44"/>
    <w:bookmarkStart w:id="45" w:name="failure-model"/>
    <w:p>
      <w:pPr>
        <w:pStyle w:val="Heading2"/>
      </w:pPr>
      <w:r>
        <w:t xml:space="preserve">25. Failure Model</w:t>
      </w:r>
    </w:p>
    <w:p>
      <w:pPr>
        <w:pStyle w:val="FirstParagraph"/>
      </w:pPr>
      <w:r>
        <w:t xml:space="preserve">TASK-015 explicitly handles/reports:</w:t>
      </w:r>
    </w:p>
    <w:p>
      <w:pPr>
        <w:pStyle w:val="Compact"/>
        <w:numPr>
          <w:ilvl w:val="0"/>
          <w:numId w:val="1013"/>
        </w:numPr>
      </w:pPr>
      <w:r>
        <w:t xml:space="preserve">duplicate delivery;</w:t>
      </w:r>
    </w:p>
    <w:p>
      <w:pPr>
        <w:pStyle w:val="Compact"/>
        <w:numPr>
          <w:ilvl w:val="0"/>
          <w:numId w:val="1013"/>
        </w:numPr>
      </w:pPr>
      <w:r>
        <w:t xml:space="preserve">idempotency collision;</w:t>
      </w:r>
    </w:p>
    <w:p>
      <w:pPr>
        <w:pStyle w:val="Compact"/>
        <w:numPr>
          <w:ilvl w:val="0"/>
          <w:numId w:val="1013"/>
        </w:numPr>
      </w:pPr>
      <w:r>
        <w:t xml:space="preserve">worker crash / expired claim;</w:t>
      </w:r>
    </w:p>
    <w:p>
      <w:pPr>
        <w:pStyle w:val="Compact"/>
        <w:numPr>
          <w:ilvl w:val="0"/>
          <w:numId w:val="1013"/>
        </w:numPr>
      </w:pPr>
      <w:r>
        <w:t xml:space="preserve">coordinator ownership transfer;</w:t>
      </w:r>
    </w:p>
    <w:p>
      <w:pPr>
        <w:pStyle w:val="Compact"/>
        <w:numPr>
          <w:ilvl w:val="0"/>
          <w:numId w:val="1013"/>
        </w:numPr>
      </w:pPr>
      <w:r>
        <w:t xml:space="preserve">stale lease/fencing token;</w:t>
      </w:r>
    </w:p>
    <w:p>
      <w:pPr>
        <w:pStyle w:val="Compact"/>
        <w:numPr>
          <w:ilvl w:val="0"/>
          <w:numId w:val="1013"/>
        </w:numPr>
      </w:pPr>
      <w:r>
        <w:t xml:space="preserve">request expiry;</w:t>
      </w:r>
    </w:p>
    <w:p>
      <w:pPr>
        <w:pStyle w:val="Compact"/>
        <w:numPr>
          <w:ilvl w:val="0"/>
          <w:numId w:val="1013"/>
        </w:numPr>
      </w:pPr>
      <w:r>
        <w:t xml:space="preserve">late result;</w:t>
      </w:r>
    </w:p>
    <w:p>
      <w:pPr>
        <w:pStyle w:val="Compact"/>
        <w:numPr>
          <w:ilvl w:val="0"/>
          <w:numId w:val="1013"/>
        </w:numPr>
      </w:pPr>
      <w:r>
        <w:t xml:space="preserve">policy/trust/epoch drift;</w:t>
      </w:r>
    </w:p>
    <w:p>
      <w:pPr>
        <w:pStyle w:val="Compact"/>
        <w:numPr>
          <w:ilvl w:val="0"/>
          <w:numId w:val="1013"/>
        </w:numPr>
      </w:pPr>
      <w:r>
        <w:t xml:space="preserve">worker revocation;</w:t>
      </w:r>
    </w:p>
    <w:p>
      <w:pPr>
        <w:pStyle w:val="Compact"/>
        <w:numPr>
          <w:ilvl w:val="0"/>
          <w:numId w:val="1013"/>
        </w:numPr>
      </w:pPr>
      <w:r>
        <w:t xml:space="preserve">DLQ poison events;</w:t>
      </w:r>
    </w:p>
    <w:p>
      <w:pPr>
        <w:pStyle w:val="Compact"/>
        <w:numPr>
          <w:ilvl w:val="0"/>
          <w:numId w:val="1013"/>
        </w:numPr>
      </w:pPr>
      <w:r>
        <w:t xml:space="preserve">replay storms;</w:t>
      </w:r>
    </w:p>
    <w:p>
      <w:pPr>
        <w:pStyle w:val="Compact"/>
        <w:numPr>
          <w:ilvl w:val="0"/>
          <w:numId w:val="1013"/>
        </w:numPr>
      </w:pPr>
      <w:r>
        <w:t xml:space="preserve">queue/inflight/cost pressure;</w:t>
      </w:r>
    </w:p>
    <w:p>
      <w:pPr>
        <w:pStyle w:val="Compact"/>
        <w:numPr>
          <w:ilvl w:val="0"/>
          <w:numId w:val="1013"/>
        </w:numPr>
      </w:pPr>
      <w:r>
        <w:t xml:space="preserve">network partition;</w:t>
      </w:r>
    </w:p>
    <w:p>
      <w:pPr>
        <w:pStyle w:val="Compact"/>
        <w:numPr>
          <w:ilvl w:val="0"/>
          <w:numId w:val="1013"/>
        </w:numPr>
      </w:pPr>
      <w:r>
        <w:t xml:space="preserve">missing cohort/source evidence;</w:t>
      </w:r>
    </w:p>
    <w:p>
      <w:pPr>
        <w:pStyle w:val="Compact"/>
        <w:numPr>
          <w:ilvl w:val="0"/>
          <w:numId w:val="1013"/>
        </w:numPr>
      </w:pPr>
      <w:r>
        <w:t xml:space="preserve">clock skew;</w:t>
      </w:r>
    </w:p>
    <w:p>
      <w:pPr>
        <w:pStyle w:val="Compact"/>
        <w:numPr>
          <w:ilvl w:val="0"/>
          <w:numId w:val="1013"/>
        </w:numPr>
      </w:pPr>
      <w:r>
        <w:t xml:space="preserve">rollout regression;</w:t>
      </w:r>
    </w:p>
    <w:p>
      <w:pPr>
        <w:pStyle w:val="Compact"/>
        <w:numPr>
          <w:ilvl w:val="0"/>
          <w:numId w:val="1013"/>
        </w:numPr>
      </w:pPr>
      <w:r>
        <w:t xml:space="preserve">incomplete Saga compensation;</w:t>
      </w:r>
    </w:p>
    <w:p>
      <w:pPr>
        <w:pStyle w:val="Compact"/>
        <w:numPr>
          <w:ilvl w:val="0"/>
          <w:numId w:val="1013"/>
        </w:numPr>
      </w:pPr>
      <w:r>
        <w:t xml:space="preserve">broker/checkpoint tampering.</w:t>
      </w:r>
    </w:p>
    <w:p>
      <w:pPr>
        <w:pStyle w:val="FirstParagraph"/>
      </w:pPr>
      <w:r>
        <w:t xml:space="preserve">Unknown external provider outcome remains recovery/reconciliation-required rather than guessed success.</w:t>
      </w:r>
    </w:p>
    <w:bookmarkEnd w:id="45"/>
    <w:bookmarkStart w:id="46" w:name="X1d4cd6e35d8444d4c2467e80d492df2448c104d"/>
    <w:p>
      <w:pPr>
        <w:pStyle w:val="Heading2"/>
      </w:pPr>
      <w:r>
        <w:t xml:space="preserve">26. Critic Findings Resolved During Implementation</w:t>
      </w:r>
    </w:p>
    <w:p>
      <w:pPr>
        <w:pStyle w:val="FirstParagraph"/>
      </w:pPr>
      <w:r>
        <w:t xml:space="preserve">The implementation review identified and corrected two pre-completion defects:</w:t>
      </w:r>
    </w:p>
    <w:p>
      <w:pPr>
        <w:pStyle w:val="Compact"/>
        <w:numPr>
          <w:ilvl w:val="0"/>
          <w:numId w:val="1014"/>
        </w:numPr>
      </w:pPr>
      <w:r>
        <w:t xml:space="preserve">Remote Run initially accepted a valid worker lease without binding the lease scope to the exact run id. This could allow lease reuse across jobs. The final implementation requires</w:t>
      </w:r>
      <w:r>
        <w:t xml:space="preserve"> </w:t>
      </w:r>
      <w:r>
        <w:rPr>
          <w:rStyle w:val="VerbatimChar"/>
        </w:rPr>
        <w:t xml:space="preserve">scope=run:&lt;run_id&gt;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Rollout initially recorded</w:t>
      </w:r>
      <w:r>
        <w:t xml:space="preserve"> </w:t>
      </w:r>
      <w:r>
        <w:rPr>
          <w:rStyle w:val="VerbatimChar"/>
        </w:rPr>
        <w:t xml:space="preserve">soak_ms</w:t>
      </w:r>
      <w:r>
        <w:t xml:space="preserve"> </w:t>
      </w:r>
      <w:r>
        <w:t xml:space="preserve">but did not enforce elapsed soak time before promotion. The final implementation stores</w:t>
      </w:r>
      <w:r>
        <w:t xml:space="preserve"> </w:t>
      </w:r>
      <w:r>
        <w:rPr>
          <w:rStyle w:val="VerbatimChar"/>
        </w:rPr>
        <w:t xml:space="preserve">soak_started_at</w:t>
      </w:r>
      <w:r>
        <w:t xml:space="preserve"> </w:t>
      </w:r>
      <w:r>
        <w:t xml:space="preserve">and blocks premature promotion.</w:t>
      </w:r>
    </w:p>
    <w:p>
      <w:pPr>
        <w:pStyle w:val="FirstParagraph"/>
      </w:pPr>
      <w:r>
        <w:t xml:space="preserve">Additional hardening added during review includes pluggable transport contract validation, distributed metric gap/SLO aggregation, explicit partition semantics, operation hash chaining and checkpoint receipts.</w:t>
      </w:r>
    </w:p>
    <w:p>
      <w:pPr>
        <w:pStyle w:val="BodyText"/>
      </w:pPr>
      <w:r>
        <w:t xml:space="preserve">Blocking Critic findings after correction: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46"/>
    <w:bookmarkStart w:id="47" w:name="verification-baseline"/>
    <w:p>
      <w:pPr>
        <w:pStyle w:val="Heading2"/>
      </w:pPr>
      <w:r>
        <w:t xml:space="preserve">27. Verification Baseline</w:t>
      </w:r>
    </w:p>
    <w:p>
      <w:pPr>
        <w:pStyle w:val="Compact"/>
        <w:numPr>
          <w:ilvl w:val="0"/>
          <w:numId w:val="1015"/>
        </w:numPr>
      </w:pPr>
      <w:r>
        <w:t xml:space="preserve">TASK-015 DistributedOS dedicated/integration tests:</w:t>
      </w:r>
      <w:r>
        <w:t xml:space="preserve"> </w:t>
      </w:r>
      <w:r>
        <w:rPr>
          <w:rStyle w:val="VerbatimChar"/>
        </w:rPr>
        <w:t xml:space="preserve">73 / 73 PASS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Full BAI Development OS:</w:t>
      </w:r>
      <w:r>
        <w:t xml:space="preserve"> </w:t>
      </w:r>
      <w:r>
        <w:rPr>
          <w:rStyle w:val="VerbatimChar"/>
        </w:rPr>
        <w:t xml:space="preserve">1188 / 1188 PASS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JavaScript Roulette Consumer:</w:t>
      </w:r>
      <w:r>
        <w:t xml:space="preserve"> </w:t>
      </w:r>
      <w:r>
        <w:rPr>
          <w:rStyle w:val="VerbatimChar"/>
        </w:rPr>
        <w:t xml:space="preserve">10 / 10 PASS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Product Boundary: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after restoring the reference Consumer from the TASK-014 complete snapshot for the isolated ZIP validation environment.</w:t>
      </w:r>
    </w:p>
    <w:p>
      <w:pPr>
        <w:pStyle w:val="Compact"/>
        <w:numPr>
          <w:ilvl w:val="0"/>
          <w:numId w:val="1015"/>
        </w:numPr>
      </w:pPr>
      <w:r>
        <w:t xml:space="preserve">Distributed Conformance:</w:t>
      </w:r>
      <w:r>
        <w:t xml:space="preserve"> </w:t>
      </w:r>
      <w:r>
        <w:rPr>
          <w:rStyle w:val="VerbatimChar"/>
        </w:rPr>
        <w:t xml:space="preserve">10 schemas / 13 shared contracts PASS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Existing Security / Release / Conformance / Maintenance / Extension / Calibration Conformance: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Roadmap Consolidation: required to remain lossless after final Architecture synchronization.</w:t>
      </w:r>
    </w:p>
    <w:bookmarkEnd w:id="47"/>
    <w:bookmarkStart w:id="48" w:name="completion-and-future-allocation"/>
    <w:p>
      <w:pPr>
        <w:pStyle w:val="Heading2"/>
      </w:pPr>
      <w:r>
        <w:t xml:space="preserve">28. Completion and Future Allocation</w:t>
      </w:r>
    </w:p>
    <w:p>
      <w:pPr>
        <w:pStyle w:val="FirstParagraph"/>
      </w:pPr>
      <w:r>
        <w:t xml:space="preserve">TASK-015 completes the currently defined TASK-004〜015 roadmap. No TASK-016 is created by completion itself.</w:t>
      </w:r>
    </w:p>
    <w:p>
      <w:pPr>
        <w:pStyle w:val="BodyText"/>
      </w:pPr>
      <w:r>
        <w:t xml:space="preserve">Future distributed vendor adapters, production queue implementations, real remote workers, multi-region deployments and learned-model implementations are product/provider extensions behind the completed contracts. They do not justify changing Core authority unless a later explicitly authorized roadmap decision creates a new product boundary.</w:t>
      </w:r>
    </w:p>
    <w:bookmarkEnd w:id="48"/>
    <w:bookmarkEnd w:id="49"/>
    <w:sectPr w:rsidR="00FC693F" w:rsidRPr="0006063C" w:rsidSect="00034616">
      <w:pgSz w:h="15840" w:w="12240"/>
      <w:pgMar w:bottom="907" w:footer="720" w:gutter="0" w:header="720" w:left="1020" w:right="1020" w:top="90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eastAsia="Yu Gothic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="Yu Gothic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="Yu Gothic" w:eastAsiaTheme="majorEastAsia" w:hAnsi="Aptos Display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="Yu Gothic" w:eastAsiaTheme="majorEastAsia" w:hAnsi="Aptos Display" w:hAnsiTheme="majorHAnsi"/>
      <w:b/>
      <w:bCs/>
      <w:color w:themeColor="accent1" w:val="4F81BD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2026-08-08T12:33:18Z</dcterms:created>
  <dcterms:modified xsi:type="dcterms:W3CDTF">2026-08-08T12:33:18Z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