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TASK-009 BAI Development OS</w:t>
      </w:r>
    </w:p>
    <w:p>
      <w:r>
        <w:rPr>
          <w:b/>
          <w:sz w:val="30"/>
        </w:rPr>
        <w:t>Security, Supply Chain &amp; Integrity Hardening — Detailed Design Ver.1.0</w:t>
      </w:r>
    </w:p>
    <w:p/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DEDED"/>
          </w:tcPr>
          <w:p>
            <w:r>
              <w:t>Item</w:t>
            </w:r>
          </w:p>
        </w:tc>
        <w:tc>
          <w:tcPr>
            <w:tcW w:type="dxa" w:w="7056"/>
            <w:shd w:fill="EDEDED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7056"/>
          </w:tcPr>
          <w:p>
            <w:r>
              <w:t>BAI Development OS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7056"/>
          </w:tcPr>
          <w:p>
            <w:r>
              <w:t>TASK-009 — Security, Supply Chain &amp; Integrity Hardening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7056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7056"/>
          </w:tcPr>
          <w:p>
            <w:r>
              <w:t>CURRENT_CANONICAL / COMPLETED</w:t>
            </w:r>
          </w:p>
        </w:tc>
      </w:tr>
      <w:tr>
        <w:tc>
          <w:tcPr>
            <w:tcW w:type="dxa" w:w="2880"/>
          </w:tcPr>
          <w:p>
            <w:r>
              <w:t>Development Profile</w:t>
            </w:r>
          </w:p>
        </w:tc>
        <w:tc>
          <w:tcPr>
            <w:tcW w:type="dxa" w:w="7056"/>
          </w:tcPr>
          <w:p>
            <w:r>
              <w:t>DEV_4_FOUNDATION_CRITICAL</w:t>
            </w:r>
          </w:p>
        </w:tc>
      </w:tr>
      <w:tr>
        <w:tc>
          <w:tcPr>
            <w:tcW w:type="dxa" w:w="2880"/>
          </w:tcPr>
          <w:p>
            <w:r>
              <w:t>Effective Date</w:t>
            </w:r>
          </w:p>
        </w:tc>
        <w:tc>
          <w:tcPr>
            <w:tcW w:type="dxa" w:w="7056"/>
          </w:tcPr>
          <w:p>
            <w:r>
              <w:t>2026-08-08</w:t>
            </w:r>
          </w:p>
        </w:tc>
      </w:tr>
      <w:tr>
        <w:tc>
          <w:tcPr>
            <w:tcW w:type="dxa" w:w="2880"/>
          </w:tcPr>
          <w:p>
            <w:r>
              <w:t>Canonical Root</w:t>
            </w:r>
          </w:p>
        </w:tc>
        <w:tc>
          <w:tcPr>
            <w:tcW w:type="dxa" w:w="7056"/>
          </w:tcPr>
          <w:p>
            <w:r>
              <w:t>/home/baisound/bai-development-os</w:t>
            </w:r>
          </w:p>
        </w:tc>
      </w:tr>
      <w:tr>
        <w:tc>
          <w:tcPr>
            <w:tcW w:type="dxa" w:w="2880"/>
          </w:tcPr>
          <w:p>
            <w:r>
              <w:t>Machine Canonical</w:t>
            </w:r>
          </w:p>
        </w:tc>
        <w:tc>
          <w:tcPr>
            <w:tcW w:type="dxa" w:w="7056"/>
          </w:tcPr>
          <w:p>
            <w:r>
              <w:t>specifications/TASK-009_BAI_Development_OS_Security_Integrity_Ver1.0.md</w:t>
            </w:r>
          </w:p>
        </w:tc>
      </w:tr>
      <w:tr>
        <w:tc>
          <w:tcPr>
            <w:tcW w:type="dxa" w:w="2880"/>
          </w:tcPr>
          <w:p>
            <w:r>
              <w:t>Human Companion</w:t>
            </w:r>
          </w:p>
        </w:tc>
        <w:tc>
          <w:tcPr>
            <w:tcW w:type="dxa" w:w="7056"/>
          </w:tcPr>
          <w:p>
            <w:r>
              <w:t>this DOCX</w:t>
            </w:r>
          </w:p>
        </w:tc>
      </w:tr>
    </w:tbl>
    <w:p>
      <w:pPr>
        <w:pStyle w:val="Heading1"/>
        <w:keepNext/>
      </w:pPr>
      <w:r>
        <w:t>1. Purpose and Authority Boundary</w:t>
      </w:r>
    </w:p>
    <w:p>
      <w:r>
        <w:t>TASK-009 consolidates security and integrity controls into one reusable SecurityOS shared primitive layer. It hardens path/root boundaries, secret lifecycle, cryptographic provenance, crash consistency, audit integrity, replay handling, outbound network policy, DLP, supply-chain evidence and security conformance without creating a second authority system.</w:t>
      </w:r>
    </w:p>
    <w:p>
      <w:pPr>
        <w:pStyle w:val="ListBullet"/>
      </w:pPr>
      <w:r>
        <w:t>TASK-004 remains Lifecycle / Guard / Cost authority.</w:t>
      </w:r>
    </w:p>
    <w:p>
      <w:pPr>
        <w:pStyle w:val="ListBullet"/>
      </w:pPr>
      <w:r>
        <w:t>TASK-005 remains Knowledge authority; SecurityOS protects persistence but cannot promote or demote Knowledge.</w:t>
      </w:r>
    </w:p>
    <w:p>
      <w:pPr>
        <w:pStyle w:val="ListBullet"/>
      </w:pPr>
      <w:r>
        <w:t>TASK-006 remains Automation authority; SecurityOS verifies approvals and evidence but cannot authorize actions.</w:t>
      </w:r>
    </w:p>
    <w:p>
      <w:pPr>
        <w:pStyle w:val="ListBullet"/>
      </w:pPr>
      <w:r>
        <w:t>TASK-007 remains read-only Monitoring authority.</w:t>
      </w:r>
    </w:p>
    <w:p>
      <w:pPr>
        <w:pStyle w:val="ListBullet"/>
      </w:pPr>
      <w:r>
        <w:t>TASK-008 remains External Integration authority.</w:t>
      </w:r>
    </w:p>
    <w:p>
      <w:pPr>
        <w:pStyle w:val="ListBullet"/>
      </w:pPr>
      <w:r>
        <w:t>Ambiguous security/recovery state fails closed; SecurityOS never guesses canonical state.</w:t>
      </w:r>
    </w:p>
    <w:p>
      <w:pPr>
        <w:pStyle w:val="Heading1"/>
        <w:keepNext/>
      </w:pPr>
      <w:r>
        <w:t>2. Internal Phase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EDEDED"/>
          </w:tcPr>
          <w:p>
            <w:r>
              <w:t>Phase</w:t>
            </w:r>
          </w:p>
        </w:tc>
        <w:tc>
          <w:tcPr>
            <w:tcW w:type="dxa" w:w="3600"/>
            <w:shd w:fill="EDEDED"/>
          </w:tcPr>
          <w:p>
            <w:r>
              <w:t>Name</w:t>
            </w:r>
          </w:p>
        </w:tc>
        <w:tc>
          <w:tcPr>
            <w:tcW w:type="dxa" w:w="5472"/>
            <w:shd w:fill="EDEDED"/>
          </w:tcPr>
          <w:p>
            <w:r>
              <w:t>Outcome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Security Authority &amp; Threat Model</w:t>
            </w:r>
          </w:p>
        </w:tc>
        <w:tc>
          <w:tcPr>
            <w:tcW w:type="dxa" w:w="5472"/>
          </w:tcPr>
          <w:p>
            <w:r>
              <w:t>Shared ownership, trust and fail-closed rules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Canonical Serialization / Hash</w:t>
            </w:r>
          </w:p>
        </w:tc>
        <w:tc>
          <w:tcPr>
            <w:tcW w:type="dxa" w:w="5472"/>
          </w:tcPr>
          <w:p>
            <w:r>
              <w:t>Stable checksums and evidence binding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Trusted Root / Path Safety</w:t>
            </w:r>
          </w:p>
        </w:tc>
        <w:tc>
          <w:tcPr>
            <w:tcW w:type="dxa" w:w="5472"/>
          </w:tcPr>
          <w:p>
            <w:r>
              <w:t>Traversal/symlink/realpath/atomic-write confinement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Credential / Vault Lifecycle</w:t>
            </w:r>
          </w:p>
        </w:tc>
        <w:tc>
          <w:tcPr>
            <w:tcW w:type="dxa" w:w="5472"/>
          </w:tcPr>
          <w:p>
            <w:r>
              <w:t>Secret references, leases, rotation/revocation/expiry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Signing / Authorization / Provenance</w:t>
            </w:r>
          </w:p>
        </w:tc>
        <w:tc>
          <w:tcPr>
            <w:tcW w:type="dxa" w:w="5472"/>
          </w:tcPr>
          <w:p>
            <w:r>
              <w:t>Ed25519 envelopes and provider abstraction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Crash-consistent Journal / WAL</w:t>
            </w:r>
          </w:p>
        </w:tc>
        <w:tc>
          <w:tcPr>
            <w:tcW w:type="dxa" w:w="5472"/>
          </w:tcPr>
          <w:p>
            <w:r>
              <w:t>PREPARED/COMMITTING/COMMITTED recovery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3600"/>
          </w:tcPr>
          <w:p>
            <w:r>
              <w:t>Tamper-evident Ledger / Replay</w:t>
            </w:r>
          </w:p>
        </w:tc>
        <w:tc>
          <w:tcPr>
            <w:tcW w:type="dxa" w:w="5472"/>
          </w:tcPr>
          <w:p>
            <w:r>
              <w:t>Signed hash chains and durable nonce protection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3600"/>
          </w:tcPr>
          <w:p>
            <w:r>
              <w:t>Knowledge Integrity Adapter</w:t>
            </w:r>
          </w:p>
        </w:tc>
        <w:tc>
          <w:tcPr>
            <w:tcW w:type="dxa" w:w="5472"/>
          </w:tcPr>
          <w:p>
            <w:r>
              <w:t>Revision/pointer/event crash-consistent mutation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3600"/>
          </w:tcPr>
          <w:p>
            <w:r>
              <w:t>Automation / Outbox Integrity</w:t>
            </w:r>
          </w:p>
        </w:tc>
        <w:tc>
          <w:tcPr>
            <w:tcW w:type="dxa" w:w="5472"/>
          </w:tcPr>
          <w:p>
            <w:r>
              <w:t>Signed Owner Approval, event and ack evidence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Monitoring Integrity / Privacy</w:t>
            </w:r>
          </w:p>
        </w:tc>
        <w:tc>
          <w:tcPr>
            <w:tcW w:type="dxa" w:w="5472"/>
          </w:tcPr>
          <w:p>
            <w:r>
              <w:t>Atomic monitoring persistence and DLP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3600"/>
          </w:tcPr>
          <w:p>
            <w:r>
              <w:t>External Integration Security</w:t>
            </w:r>
          </w:p>
        </w:tc>
        <w:tc>
          <w:tcPr>
            <w:tcW w:type="dxa" w:w="5472"/>
          </w:tcPr>
          <w:p>
            <w:r>
              <w:t>Credential DLP, replay, egress/SSRF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3600"/>
          </w:tcPr>
          <w:p>
            <w:r>
              <w:t>Supply Chain / SBOM / Dependency Risk</w:t>
            </w:r>
          </w:p>
        </w:tc>
        <w:tc>
          <w:tcPr>
            <w:tcW w:type="dxa" w:w="5472"/>
          </w:tcPr>
          <w:p>
            <w:r>
              <w:t>Signed manifests, SBOM and vulnerability policy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3600"/>
          </w:tcPr>
          <w:p>
            <w:r>
              <w:t>Sandbox / Fault Injection / Conformance</w:t>
            </w:r>
          </w:p>
        </w:tc>
        <w:tc>
          <w:tcPr>
            <w:tcW w:type="dxa" w:w="5472"/>
          </w:tcPr>
          <w:p>
            <w:r>
              <w:t>Shared sandbox policy, negative tests, schemas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3600"/>
          </w:tcPr>
          <w:p>
            <w:r>
              <w:t>E2E / Critic / Completion</w:t>
            </w:r>
          </w:p>
        </w:tc>
        <w:tc>
          <w:tcPr>
            <w:tcW w:type="dxa" w:w="5472"/>
          </w:tcPr>
          <w:p>
            <w:r>
              <w:t>Full regression and canonical synchronization</w:t>
            </w:r>
          </w:p>
        </w:tc>
      </w:tr>
    </w:tbl>
    <w:p>
      <w:pPr>
        <w:pStyle w:val="Heading1"/>
        <w:keepNext/>
      </w:pPr>
      <w:r>
        <w:t>3. SecurityOS Shared Primitive Model</w:t>
      </w:r>
    </w:p>
    <w:p>
      <w:pPr>
        <w:pStyle w:val="ListBullet"/>
      </w:pPr>
      <w:r>
        <w:t>SecurityOS is an implementation library beneath existing authoritative subsystems. Common primitives are imported rather than reimplemented locally.</w:t>
      </w:r>
    </w:p>
    <w:p>
      <w:pPr>
        <w:pStyle w:val="ListBullet"/>
      </w:pPr>
      <w:r>
        <w:t>Canonical serialization and SHA-256 bind structured evidence independently of object insertion order.</w:t>
      </w:r>
    </w:p>
    <w:p>
      <w:pPr>
        <w:pStyle w:val="ListBullet"/>
      </w:pPr>
      <w:r>
        <w:t>Root export: SecurityOS. Security schemas: 9 Draft 2020-12 contracts.</w:t>
      </w:r>
    </w:p>
    <w:p>
      <w:pPr>
        <w:pStyle w:val="Heading1"/>
        <w:keepNext/>
      </w:pPr>
      <w:r>
        <w:t>4. Trusted Root, Symlink and Atomic Write Safety</w:t>
      </w:r>
    </w:p>
    <w:p>
      <w:pPr>
        <w:pStyle w:val="ListBullet"/>
      </w:pPr>
      <w:r>
        <w:t>Relative path normalization rejects absolute paths, empty segments and traversal.</w:t>
      </w:r>
    </w:p>
    <w:p>
      <w:pPr>
        <w:pStyle w:val="ListBullet"/>
      </w:pPr>
      <w:r>
        <w:t>Trusted roots must exist, be directories and not be symbolic links.</w:t>
      </w:r>
    </w:p>
    <w:p>
      <w:pPr>
        <w:pStyle w:val="ListBullet"/>
      </w:pPr>
      <w:r>
        <w:t>Existing/writable paths are confined with lexical and realpath checks.</w:t>
      </w:r>
    </w:p>
    <w:p>
      <w:pPr>
        <w:pStyle w:val="ListBullet"/>
      </w:pPr>
      <w:r>
        <w:t>Symlink path segments are rejected. Atomic write fsyncs temporary bytes, revalidates immediately before rename, verifies the committed path and fsyncs the parent directory.</w:t>
      </w:r>
    </w:p>
    <w:p>
      <w:pPr>
        <w:pStyle w:val="Heading1"/>
        <w:keepNext/>
      </w:pPr>
      <w:r>
        <w:t>5. Credential / Vault Lifecycle</w:t>
      </w:r>
    </w:p>
    <w:p>
      <w:pPr>
        <w:pStyle w:val="ListBullet"/>
      </w:pPr>
      <w:r>
        <w:t>Secret Reference contains provider, secret id, version and safe metadata only; recursively nested secret-like keys are rejected.</w:t>
      </w:r>
    </w:p>
    <w:p>
      <w:pPr>
        <w:pStyle w:val="ListBullet"/>
      </w:pPr>
      <w:r>
        <w:t>Reference vault leases bind scope, version and TTL. Rotation/revocation invalidates unsafe/stale lease use.</w:t>
      </w:r>
    </w:p>
    <w:p>
      <w:pPr>
        <w:pStyle w:val="ListBullet"/>
      </w:pPr>
      <w:r>
        <w:t>Secret values are never serialized into references, audit records or connector metadata.</w:t>
      </w:r>
    </w:p>
    <w:p>
      <w:pPr>
        <w:pStyle w:val="ListBullet"/>
      </w:pPr>
      <w:r>
        <w:t>The provider abstraction permits future Vault/KMS/HSM integrations without changing consumers.</w:t>
      </w:r>
    </w:p>
    <w:p>
      <w:pPr>
        <w:pStyle w:val="Heading1"/>
        <w:keepNext/>
      </w:pPr>
      <w:r>
        <w:t>6. Signing, Authorization and Provenance</w:t>
      </w:r>
    </w:p>
    <w:p>
      <w:pPr>
        <w:pStyle w:val="ListBullet"/>
      </w:pPr>
      <w:r>
        <w:t>Ed25519 canonical envelopes bind payload checksum, key id, signing time and signature.</w:t>
      </w:r>
    </w:p>
    <w:p>
      <w:pPr>
        <w:pStyle w:val="ListBullet"/>
      </w:pPr>
      <w:r>
        <w:t>Signing provider API decouples callers from local key custody and is KMS/HSM-ready.</w:t>
      </w:r>
    </w:p>
    <w:p>
      <w:pPr>
        <w:pStyle w:val="ListBullet"/>
      </w:pPr>
      <w:r>
        <w:t>Owner Approval and Completion Outbox may require signed evidence. Security verification cannot grant authority by itself.</w:t>
      </w:r>
    </w:p>
    <w:p>
      <w:pPr>
        <w:pStyle w:val="ListBullet"/>
      </w:pPr>
      <w:r>
        <w:t>Signed supply-chain and ledger evidence may be mandatory by policy.</w:t>
      </w:r>
    </w:p>
    <w:p>
      <w:pPr>
        <w:pStyle w:val="Heading1"/>
        <w:keepNext/>
      </w:pPr>
      <w:r>
        <w:t>7. Crash-consistent Journal / WAL</w:t>
      </w:r>
    </w:p>
    <w:p>
      <w:pPr>
        <w:pStyle w:val="ListBullet"/>
      </w:pPr>
      <w:r>
        <w:t>Transaction states: PREPARED → COMMITTING → COMMITTED; PREPARED may ROLL BACK before commit starts.</w:t>
      </w:r>
    </w:p>
    <w:p>
      <w:pPr>
        <w:pStyle w:val="ListBullet"/>
      </w:pPr>
      <w:r>
        <w:t>COMMITTING cannot roll back because visible target mutations may already exist; explicit COMPLETE recovery is mandatory.</w:t>
      </w:r>
    </w:p>
    <w:p>
      <w:pPr>
        <w:pStyle w:val="ListBullet"/>
      </w:pPr>
      <w:r>
        <w:t>Operation temp and target checksums are verified. CREATE rejects unexpected pre-existing targets.</w:t>
      </w:r>
    </w:p>
    <w:p>
      <w:pPr>
        <w:pStyle w:val="ListBullet"/>
      </w:pPr>
      <w:r>
        <w:t>Journal state itself is persisted atomically. Corrupt/torn state fails closed.</w:t>
      </w:r>
    </w:p>
    <w:p>
      <w:pPr>
        <w:pStyle w:val="Heading1"/>
        <w:keepNext/>
      </w:pPr>
      <w:r>
        <w:t>8. Knowledge Integrity Upgrade</w:t>
      </w:r>
    </w:p>
    <w:p>
      <w:pPr>
        <w:pStyle w:val="ListBullet"/>
      </w:pPr>
      <w:r>
        <w:t>TASK-005 revision, current pointer and event-log mutation now execute as one Security journal transaction.</w:t>
      </w:r>
    </w:p>
    <w:p>
      <w:pPr>
        <w:pStyle w:val="ListBullet"/>
      </w:pPr>
      <w:r>
        <w:t>Knowledge repository verification blocks on pending PREPARED/COMMITTING journals with KNOWLEDGE_RECOVERY_REQUIRED.</w:t>
      </w:r>
    </w:p>
    <w:p>
      <w:pPr>
        <w:pStyle w:val="ListBullet"/>
      </w:pPr>
      <w:r>
        <w:t>Recovery is explicit; partial files are never used to guess canonical Knowledge.</w:t>
      </w:r>
    </w:p>
    <w:p>
      <w:pPr>
        <w:pStyle w:val="Heading1"/>
        <w:keepNext/>
      </w:pPr>
      <w:r>
        <w:t>9. Tamper-evident Ledger and Replay Protection</w:t>
      </w:r>
    </w:p>
    <w:p>
      <w:pPr>
        <w:pStyle w:val="ListBullet"/>
      </w:pPr>
      <w:r>
        <w:t>Security Ledger enforces sequence, previous checksum and current record checksum; policy may require every row signed.</w:t>
      </w:r>
    </w:p>
    <w:p>
      <w:pPr>
        <w:pStyle w:val="ListBullet"/>
      </w:pPr>
      <w:r>
        <w:t>Ledger persistence uses atomic full-ledger replacement rather than raw append.</w:t>
      </w:r>
    </w:p>
    <w:p>
      <w:pPr>
        <w:pStyle w:val="ListBullet"/>
      </w:pPr>
      <w:r>
        <w:t>Replay acceptance is lock-protected so simultaneous duplicate events cannot both be accepted.</w:t>
      </w:r>
    </w:p>
    <w:p>
      <w:pPr>
        <w:pStyle w:val="ListBullet"/>
      </w:pPr>
      <w:r>
        <w:t>Replay namespace can bind provider, project and event identity with freshness/TTL.</w:t>
      </w:r>
    </w:p>
    <w:p>
      <w:pPr>
        <w:pStyle w:val="Heading1"/>
        <w:keepNext/>
      </w:pPr>
      <w:r>
        <w:t>10. Automation / Outbox Integrity</w:t>
      </w:r>
    </w:p>
    <w:p>
      <w:pPr>
        <w:pStyle w:val="ListBullet"/>
      </w:pPr>
      <w:r>
        <w:t>Owner Approval verification can require signature/key binding before execution.</w:t>
      </w:r>
    </w:p>
    <w:p>
      <w:pPr>
        <w:pStyle w:val="ListBullet"/>
      </w:pPr>
      <w:r>
        <w:t>Completion Outbox events can be signed; derived-sync acknowledgements can also be signed.</w:t>
      </w:r>
    </w:p>
    <w:p>
      <w:pPr>
        <w:pStyle w:val="ListBullet"/>
      </w:pPr>
      <w:r>
        <w:t>Acknowledgement persistence is atomic and idempotency remains the TASK-006 semantic contract.</w:t>
      </w:r>
    </w:p>
    <w:p>
      <w:pPr>
        <w:pStyle w:val="Heading1"/>
        <w:keepNext/>
      </w:pPr>
      <w:r>
        <w:t>11. Monitoring Integrity and Privacy</w:t>
      </w:r>
    </w:p>
    <w:p>
      <w:pPr>
        <w:pStyle w:val="ListBullet"/>
      </w:pPr>
      <w:r>
        <w:t>Monitoring event persistence uses atomic full-ledger write under the shared path boundary.</w:t>
      </w:r>
    </w:p>
    <w:p>
      <w:pPr>
        <w:pStyle w:val="ListBullet"/>
      </w:pPr>
      <w:r>
        <w:t>Security DLP recursively scans/redacts token, password, secret, API-key and private-key-like material.</w:t>
      </w:r>
    </w:p>
    <w:p>
      <w:pPr>
        <w:pStyle w:val="ListBullet"/>
      </w:pPr>
      <w:r>
        <w:t>Monitoring stays derived and cannot become authorization or canonical source.</w:t>
      </w:r>
    </w:p>
    <w:p>
      <w:pPr>
        <w:pStyle w:val="Heading1"/>
        <w:keepNext/>
      </w:pPr>
      <w:r>
        <w:t>12. External Integration Security</w:t>
      </w:r>
    </w:p>
    <w:p>
      <w:pPr>
        <w:pStyle w:val="ListBullet"/>
      </w:pPr>
      <w:r>
        <w:t>Credential metadata is recursively checked for hidden secret material.</w:t>
      </w:r>
    </w:p>
    <w:p>
      <w:pPr>
        <w:pStyle w:val="ListBullet"/>
      </w:pPr>
      <w:r>
        <w:t>Webhook transport verification is combined with durable replay acceptance.</w:t>
      </w:r>
    </w:p>
    <w:p>
      <w:pPr>
        <w:pStyle w:val="ListBullet"/>
      </w:pPr>
      <w:r>
        <w:t>Connector endpoint policy enforces allowed protocols/hosts, trusted DNS evidence, private-address denial and HTTPS downgrade denial before connector invocation.</w:t>
      </w:r>
    </w:p>
    <w:p>
      <w:pPr>
        <w:pStyle w:val="ListBullet"/>
      </w:pPr>
      <w:r>
        <w:t>External responses remain under TASK-008 trust/canonical rules.</w:t>
      </w:r>
    </w:p>
    <w:p>
      <w:pPr>
        <w:pStyle w:val="Heading1"/>
        <w:keepNext/>
      </w:pPr>
      <w:r>
        <w:t>13. Supply Chain, SBOM and Dependency Risk</w:t>
      </w:r>
    </w:p>
    <w:p>
      <w:pPr>
        <w:pStyle w:val="ListBullet"/>
      </w:pPr>
      <w:r>
        <w:t>Supply-chain manifests bind file path, size and SHA-256 and support mandatory Ed25519 signature policy.</w:t>
      </w:r>
    </w:p>
    <w:p>
      <w:pPr>
        <w:pStyle w:val="ListBullet"/>
      </w:pPr>
      <w:r>
        <w:t>BAI-SPDX-LITE SBOM deterministically inventories package identity and dependency groups with a document checksum.</w:t>
      </w:r>
    </w:p>
    <w:p>
      <w:pPr>
        <w:pStyle w:val="ListBullet"/>
      </w:pPr>
      <w:r>
        <w:t>Vulnerability findings are normalized and unresolved HIGH/CRITICAL findings block by default unless explicitly fixed/allowlisted.</w:t>
      </w:r>
    </w:p>
    <w:p>
      <w:pPr>
        <w:pStyle w:val="ListBullet"/>
      </w:pPr>
      <w:r>
        <w:t>Release ceremony, migration and distribution productization are TASK-010 responsibilities.</w:t>
      </w:r>
    </w:p>
    <w:p>
      <w:pPr>
        <w:pStyle w:val="Heading1"/>
        <w:keepNext/>
      </w:pPr>
      <w:r>
        <w:t>14. Sandbox Policy</w:t>
      </w:r>
    </w:p>
    <w:p>
      <w:pPr>
        <w:pStyle w:val="ListBullet"/>
      </w:pPr>
      <w:r>
        <w:t>Logical sandbox contracts declare capabilities, readable/writable roots, environment keys, allowed network hosts and maximum runtime.</w:t>
      </w:r>
    </w:p>
    <w:p>
      <w:pPr>
        <w:pStyle w:val="ListBullet"/>
      </w:pPr>
      <w:r>
        <w:t>Undeclared capability/path/network/environment access fails closed.</w:t>
      </w:r>
    </w:p>
    <w:p>
      <w:pPr>
        <w:pStyle w:val="ListBullet"/>
      </w:pPr>
      <w:r>
        <w:t>This is a provider-neutral contract, not a false claim of OS-native seccomp/container isolation. Real sandbox providers belong TASK-013.</w:t>
      </w:r>
    </w:p>
    <w:p>
      <w:pPr>
        <w:pStyle w:val="Heading1"/>
        <w:keepNext/>
      </w:pPr>
      <w:r>
        <w:t>15. Critic Findings Resolved</w:t>
      </w:r>
    </w:p>
    <w:p>
      <w:pPr>
        <w:pStyle w:val="ListBullet"/>
      </w:pPr>
      <w:r>
        <w:t>Closed concurrent replay check-and-record race.</w:t>
      </w:r>
    </w:p>
    <w:p>
      <w:pPr>
        <w:pStyle w:val="ListBullet"/>
      </w:pPr>
      <w:r>
        <w:t>Made Journal state atomic and recovery explicit.</w:t>
      </w:r>
    </w:p>
    <w:p>
      <w:pPr>
        <w:pStyle w:val="ListBullet"/>
      </w:pPr>
      <w:r>
        <w:t>Added enforceable signature-required modes for supply-chain and ledgers.</w:t>
      </w:r>
    </w:p>
    <w:p>
      <w:pPr>
        <w:pStyle w:val="ListBullet"/>
      </w:pPr>
      <w:r>
        <w:t>Added signed Owner Approval/Outbox path without turning SecurityOS into authority.</w:t>
      </w:r>
    </w:p>
    <w:p>
      <w:pPr>
        <w:pStyle w:val="ListBullet"/>
      </w:pPr>
      <w:r>
        <w:t>Closed nested credential secret bypass.</w:t>
      </w:r>
    </w:p>
    <w:p>
      <w:pPr>
        <w:pStyle w:val="ListBullet"/>
      </w:pPr>
      <w:r>
        <w:t>Replaced critical raw append persistence with shared atomic write.</w:t>
      </w:r>
    </w:p>
    <w:p>
      <w:pPr>
        <w:pStyle w:val="ListBullet"/>
      </w:pPr>
      <w:r>
        <w:t>Added pre-rename TOCTOU revalidation.</w:t>
      </w:r>
    </w:p>
    <w:p>
      <w:pPr>
        <w:pStyle w:val="ListBullet"/>
      </w:pPr>
      <w:r>
        <w:t>Added SBOM and signing-provider abstraction.</w:t>
      </w:r>
    </w:p>
    <w:p>
      <w:pPr>
        <w:pStyle w:val="Heading1"/>
        <w:keepNext/>
      </w:pPr>
      <w:r>
        <w:t>16. Accepted Residual / Future Ownership</w:t>
      </w:r>
    </w:p>
    <w:p>
      <w:pPr>
        <w:pStyle w:val="ListBullet"/>
      </w:pPr>
      <w:r>
        <w:t>Release signing/migration/distribution: TASK-010.</w:t>
      </w:r>
    </w:p>
    <w:p>
      <w:pPr>
        <w:pStyle w:val="ListBullet"/>
      </w:pPr>
      <w:r>
        <w:t>Real multi-project/provider security conformance: TASK-011.</w:t>
      </w:r>
    </w:p>
    <w:p>
      <w:pPr>
        <w:pStyle w:val="ListBullet"/>
      </w:pPr>
      <w:r>
        <w:t>Automatic fsck/repair/compaction/reconciliation: TASK-012.</w:t>
      </w:r>
    </w:p>
    <w:p>
      <w:pPr>
        <w:pStyle w:val="ListBullet"/>
      </w:pPr>
      <w:r>
        <w:t>Real Vault/KMS/HSM/container/domain plugin providers: TASK-013.</w:t>
      </w:r>
    </w:p>
    <w:p>
      <w:pPr>
        <w:pStyle w:val="ListBullet"/>
      </w:pPr>
      <w:r>
        <w:t>Adaptive security-policy calibration: TASK-014.</w:t>
      </w:r>
    </w:p>
    <w:p>
      <w:pPr>
        <w:pStyle w:val="ListBullet"/>
      </w:pPr>
      <w:r>
        <w:t>Distributed nonce/rate/key/queue/lease coordination: TASK-015.</w:t>
      </w:r>
    </w:p>
    <w:p>
      <w:pPr>
        <w:pStyle w:val="Heading1"/>
        <w:keepNext/>
      </w:pPr>
      <w:r>
        <w:t>17. Verification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EDEDED"/>
          </w:tcPr>
          <w:p>
            <w:r>
              <w:t>Gate</w:t>
            </w:r>
          </w:p>
        </w:tc>
        <w:tc>
          <w:tcPr>
            <w:tcW w:type="dxa" w:w="5040"/>
            <w:shd w:fill="EDEDED"/>
          </w:tcPr>
          <w:p>
            <w:r>
              <w:t>Result</w:t>
            </w:r>
          </w:p>
        </w:tc>
      </w:tr>
      <w:tr>
        <w:tc>
          <w:tcPr>
            <w:tcW w:type="dxa" w:w="4752"/>
          </w:tcPr>
          <w:p>
            <w:r>
              <w:t>TASK-009 Security</w:t>
            </w:r>
          </w:p>
        </w:tc>
        <w:tc>
          <w:tcPr>
            <w:tcW w:type="dxa" w:w="5040"/>
          </w:tcPr>
          <w:p>
            <w:r>
              <w:t>64 / 64 PASS</w:t>
            </w:r>
          </w:p>
        </w:tc>
      </w:tr>
      <w:tr>
        <w:tc>
          <w:tcPr>
            <w:tcW w:type="dxa" w:w="4752"/>
          </w:tcPr>
          <w:p>
            <w:r>
              <w:t>Full BAI Development OS</w:t>
            </w:r>
          </w:p>
        </w:tc>
        <w:tc>
          <w:tcPr>
            <w:tcW w:type="dxa" w:w="5040"/>
          </w:tcPr>
          <w:p>
            <w:r>
              <w:t>625 / 625 PASS</w:t>
            </w:r>
          </w:p>
        </w:tc>
      </w:tr>
      <w:tr>
        <w:tc>
          <w:tcPr>
            <w:tcW w:type="dxa" w:w="4752"/>
          </w:tcPr>
          <w:p>
            <w:r>
              <w:t>Pre-TASK-009 regression baseline</w:t>
            </w:r>
          </w:p>
        </w:tc>
        <w:tc>
          <w:tcPr>
            <w:tcW w:type="dxa" w:w="5040"/>
          </w:tcPr>
          <w:p>
            <w:r>
              <w:t>existing 561 tests retained inside full PASS</w:t>
            </w:r>
          </w:p>
        </w:tc>
      </w:tr>
      <w:tr>
        <w:tc>
          <w:tcPr>
            <w:tcW w:type="dxa" w:w="4752"/>
          </w:tcPr>
          <w:p>
            <w:r>
              <w:t>JavaScript Roulette Consumer</w:t>
            </w:r>
          </w:p>
        </w:tc>
        <w:tc>
          <w:tcPr>
            <w:tcW w:type="dxa" w:w="5040"/>
          </w:tcPr>
          <w:p>
            <w:r>
              <w:t>10 / 10 PASS</w:t>
            </w:r>
          </w:p>
        </w:tc>
      </w:tr>
      <w:tr>
        <w:tc>
          <w:tcPr>
            <w:tcW w:type="dxa" w:w="4752"/>
          </w:tcPr>
          <w:p>
            <w:r>
              <w:t>Product Boundary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4752"/>
          </w:tcPr>
          <w:p>
            <w:r>
              <w:t>Roadmap Consolidation</w:t>
            </w:r>
          </w:p>
        </w:tc>
        <w:tc>
          <w:tcPr>
            <w:tcW w:type="dxa" w:w="5040"/>
          </w:tcPr>
          <w:p>
            <w:r>
              <w:t>33 / 33 PASS</w:t>
            </w:r>
          </w:p>
        </w:tc>
      </w:tr>
      <w:tr>
        <w:tc>
          <w:tcPr>
            <w:tcW w:type="dxa" w:w="4752"/>
          </w:tcPr>
          <w:p>
            <w:r>
              <w:t>Security Conformance</w:t>
            </w:r>
          </w:p>
        </w:tc>
        <w:tc>
          <w:tcPr>
            <w:tcW w:type="dxa" w:w="5040"/>
          </w:tcPr>
          <w:p>
            <w:r>
              <w:t>PASS — 9 schemas</w:t>
            </w:r>
          </w:p>
        </w:tc>
      </w:tr>
      <w:tr>
        <w:tc>
          <w:tcPr>
            <w:tcW w:type="dxa" w:w="4752"/>
          </w:tcPr>
          <w:p>
            <w:r>
              <w:t>SecurityOS root export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4752"/>
          </w:tcPr>
          <w:p>
            <w:r>
              <w:t>Blocking Critic findings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  <w:keepNext/>
      </w:pPr>
      <w:r>
        <w:t>18. Completion Status</w:t>
      </w:r>
    </w:p>
    <w:p>
      <w:r>
        <w:t>TASK-009 is COMPLETED at the Ver.1.0 technical/canonical baseline. TASK-010 — Release, Distribution &amp; Consumer Upgrade OS is NEXT / NOT_STARTED / NOT_AUTHORIZED.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