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TASK-006 BAI Development OS Orchestration &amp; Automation Foundation Detailed Design Ver.1.0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vAlign w:val="center"/>
            <w:shd w:fill="EDEDED"/>
          </w:tcPr>
          <w:p>
            <w:r>
              <w:rPr>
                <w:rFonts w:ascii="Noto Sans CJK JP" w:hAnsi="Noto Sans CJK JP" w:eastAsia="Noto Sans CJK JP"/>
                <w:sz w:val="17"/>
              </w:rPr>
              <w:t>Item</w:t>
            </w:r>
          </w:p>
        </w:tc>
        <w:tc>
          <w:tcPr>
            <w:tcW w:type="dxa" w:w="5043"/>
            <w:vAlign w:val="center"/>
            <w:shd w:fill="EDEDED"/>
          </w:tcPr>
          <w:p>
            <w:r>
              <w:rPr>
                <w:rFonts w:ascii="Noto Sans CJK JP" w:hAnsi="Noto Sans CJK JP" w:eastAsia="Noto Sans CJK JP"/>
                <w:sz w:val="17"/>
              </w:rPr>
              <w:t>Value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Document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TASK-006 Orchestration &amp; Automation Foundation Detailed Design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Version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1.0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Status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CURRENT_CANONICAL / COMPLETED_IMPLEMENTATION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Date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2026-08-08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Product Root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/home/baisound/bai-development-os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Development Profile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DEV_4_FOUNDATION_CRITICAL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Predecessor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TASK-005 Knowledge Operating System Ver.1.2 / COMPLETED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Parent Architecture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BAI Development OS Architecture Ver.2.7 at design start; Ver.2.8 after completion synchronization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Authority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Owner direct instruction to proceed with TASK-006 detailed design and development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Permanent Model Policy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UNCHANGED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pPr>
        <w:pStyle w:val="BodyText"/>
        <w:spacing w:after="80"/>
      </w:pPr>
      <w:r>
        <w:t>TASK-006 turns the completed Lifecycle and Knowledge foundations into a governed execution substrate that can discover projects and documents, resolve runtime/project/risk/knowledge context, construct bounded role startup packages, compile instructions, support safe restart and reliability, synchronize derived documentation, execute authorized automation, and validate end-to-end governance.</w:t>
      </w:r>
    </w:p>
    <w:p>
      <w:pPr>
        <w:pStyle w:val="BodyText"/>
        <w:spacing w:after="80"/>
      </w:pPr>
      <w:r>
        <w:t>The subsystem is deliberately not an unrestricted autonomous agent. It must make automation faster for already-authorized, reversible, scope-bound work while retaining explicit Owner gates for irreversible, external-side-effect, publication, deletion and policy-changing actions.</w:t>
      </w:r>
    </w:p>
    <w:p>
      <w:r>
        <w:br w:type="page"/>
      </w:r>
    </w:p>
    <w:p>
      <w:pPr>
        <w:pStyle w:val="Heading1"/>
      </w:pPr>
      <w:r>
        <w:t>2. Responsibility Boundary</w:t>
      </w:r>
    </w:p>
    <w:p>
      <w:pPr>
        <w:pStyle w:val="Heading2"/>
      </w:pPr>
      <w:r>
        <w:t>2.1 TASK-006 Owns</w:t>
      </w:r>
    </w:p>
    <w:p>
      <w:pPr>
        <w:spacing w:after="30"/>
        <w:ind w:left="283"/>
      </w:pPr>
      <w:r>
        <w:t>• Workspace/project/document discovery indexes and deterministic resolution.</w:t>
      </w:r>
    </w:p>
    <w:p>
      <w:pPr>
        <w:spacing w:after="30"/>
        <w:ind w:left="283"/>
      </w:pPr>
      <w:r>
        <w:t>• Runtime/environment/shell/root probe resolution from current evidence.</w:t>
      </w:r>
    </w:p>
    <w:p>
      <w:pPr>
        <w:spacing w:after="30"/>
        <w:ind w:left="283"/>
      </w:pPr>
      <w:r>
        <w:t>• Project and adaptive risk/profile resolution.</w:t>
      </w:r>
    </w:p>
    <w:p>
      <w:pPr>
        <w:spacing w:after="30"/>
        <w:ind w:left="283"/>
      </w:pPr>
      <w:r>
        <w:t>• TASK-005 Knowledge resolution integration for role startup.</w:t>
      </w:r>
    </w:p>
    <w:p>
      <w:pPr>
        <w:spacing w:after="30"/>
        <w:ind w:left="283"/>
      </w:pPr>
      <w:r>
        <w:t>• Role Startup Package and instruction compilation.</w:t>
      </w:r>
    </w:p>
    <w:p>
      <w:pPr>
        <w:spacing w:after="30"/>
        <w:ind w:left="283"/>
      </w:pPr>
      <w:r>
        <w:t>• Owner Authorization Proposal generation and approval validation.</w:t>
      </w:r>
    </w:p>
    <w:p>
      <w:pPr>
        <w:spacing w:after="30"/>
        <w:ind w:left="283"/>
      </w:pPr>
      <w:r>
        <w:t>• Retry/session/restart/worktree evidence helpers.</w:t>
      </w:r>
    </w:p>
    <w:p>
      <w:pPr>
        <w:spacing w:after="30"/>
        <w:ind w:left="283"/>
      </w:pPr>
      <w:r>
        <w:t>• Canonical document resolution and authorized derived-document synchronization.</w:t>
      </w:r>
    </w:p>
    <w:p>
      <w:pPr>
        <w:spacing w:after="30"/>
        <w:ind w:left="283"/>
      </w:pPr>
      <w:r>
        <w:t>• Advanced execution guards for context/model/prompt/budget optimization.</w:t>
      </w:r>
    </w:p>
    <w:p>
      <w:pPr>
        <w:spacing w:after="30"/>
        <w:ind w:left="283"/>
      </w:pPr>
      <w:r>
        <w:t>• Conditional automation planning, scheduling, normalization and gate evaluation.</w:t>
      </w:r>
    </w:p>
    <w:p>
      <w:pPr>
        <w:spacing w:after="30"/>
        <w:ind w:left="283"/>
      </w:pPr>
      <w:r>
        <w:t>• Verified TASK-004 Completion Outbox consumption for derived synchronization.</w:t>
      </w:r>
    </w:p>
    <w:p>
      <w:pPr>
        <w:spacing w:after="30"/>
        <w:ind w:left="283"/>
      </w:pPr>
      <w:r>
        <w:t>• Sandbox-only runtime mutation/fault-injection probes.</w:t>
      </w:r>
    </w:p>
    <w:p>
      <w:pPr>
        <w:pStyle w:val="Heading2"/>
      </w:pPr>
      <w:r>
        <w:t>2.2 TASK-006 Does Not Own</w:t>
      </w:r>
    </w:p>
    <w:p>
      <w:pPr>
        <w:spacing w:after="30"/>
        <w:ind w:left="283"/>
      </w:pPr>
      <w:r>
        <w:t>• TASK-004 Lifecycle canonical state authority.</w:t>
      </w:r>
    </w:p>
    <w:p>
      <w:pPr>
        <w:spacing w:after="30"/>
        <w:ind w:left="283"/>
      </w:pPr>
      <w:r>
        <w:t>• TASK-005 Knowledge content/governance authority.</w:t>
      </w:r>
    </w:p>
    <w:p>
      <w:pPr>
        <w:spacing w:after="30"/>
        <w:ind w:left="283"/>
      </w:pPr>
      <w:r>
        <w:t>• Owner authorization authority.</w:t>
      </w:r>
    </w:p>
    <w:p>
      <w:pPr>
        <w:spacing w:after="30"/>
        <w:ind w:left="283"/>
      </w:pPr>
      <w:r>
        <w:t>• External connector execution owned by TASK-008.</w:t>
      </w:r>
    </w:p>
    <w:p>
      <w:pPr>
        <w:spacing w:after="30"/>
        <w:ind w:left="283"/>
      </w:pPr>
      <w:r>
        <w:t>• Monitoring/dashboard product surfaces owned by TASK-007.</w:t>
      </w:r>
    </w:p>
    <w:p>
      <w:pPr>
        <w:spacing w:after="30"/>
        <w:ind w:left="283"/>
      </w:pPr>
      <w:r>
        <w:t>• Distribution/release compatibility owned by TASK-010.</w:t>
      </w:r>
    </w:p>
    <w:p>
      <w:pPr>
        <w:spacing w:after="30"/>
        <w:ind w:left="283"/>
      </w:pPr>
      <w:r>
        <w:t>• General supply-chain hardening owned by TASK-009.</w:t>
      </w:r>
    </w:p>
    <w:p>
      <w:pPr>
        <w:pStyle w:val="Heading2"/>
      </w:pPr>
      <w:r>
        <w:t>2.3 Authority Invariants</w:t>
      </w:r>
    </w:p>
    <w:p>
      <w:pPr>
        <w:spacing w:after="30"/>
        <w:ind w:left="170"/>
      </w:pPr>
      <w:r>
        <w:t>1. Registry is an index, never content authority.</w:t>
      </w:r>
    </w:p>
    <w:p>
      <w:pPr>
        <w:spacing w:after="30"/>
        <w:ind w:left="170"/>
      </w:pPr>
      <w:r>
        <w:t>2. Automation may propose Lifecycle action but cannot silently mutate canonical Lifecycle state.</w:t>
      </w:r>
    </w:p>
    <w:p>
      <w:pPr>
        <w:spacing w:after="30"/>
        <w:ind w:left="170"/>
      </w:pPr>
      <w:r>
        <w:t>3. Knowledge Pack must pass TASK-004 Context Manifest before role execution.</w:t>
      </w:r>
    </w:p>
    <w:p>
      <w:pPr>
        <w:spacing w:after="30"/>
        <w:ind w:left="170"/>
      </w:pPr>
      <w:r>
        <w:t>4. Owner Proposal is not Owner Authorization.</w:t>
      </w:r>
    </w:p>
    <w:p>
      <w:pPr>
        <w:spacing w:after="30"/>
        <w:ind w:left="170"/>
      </w:pPr>
      <w:r>
        <w:t>5. Runtime facts come from current probe evidence, not UI labels or historical assumptions.</w:t>
      </w:r>
    </w:p>
    <w:p>
      <w:pPr>
        <w:spacing w:after="30"/>
        <w:ind w:left="170"/>
      </w:pPr>
      <w:r>
        <w:t>6. Normal authorized/reversible/scope-bound implementation must not require redundant Owner confirmation.</w:t>
      </w:r>
    </w:p>
    <w:p>
      <w:pPr>
        <w:spacing w:after="30"/>
        <w:ind w:left="170"/>
      </w:pPr>
      <w:r>
        <w:t>7. Irreversible, external-side-effect, publication, deletion and policy actions require Owner approval.</w:t>
      </w:r>
    </w:p>
    <w:p>
      <w:pPr>
        <w:spacing w:after="30"/>
        <w:ind w:left="170"/>
      </w:pPr>
      <w:r>
        <w:t>8. Mutation/fault-injection probes require explicit authorization and an isolated sandbox.</w:t>
      </w:r>
    </w:p>
    <w:p>
      <w:pPr>
        <w:spacing w:after="30"/>
        <w:ind w:left="170"/>
      </w:pPr>
      <w:r>
        <w:t>9. Derived-sync failure after canonical completion produces SYNC_PENDING; it never rolls canonical completion back.</w:t>
      </w:r>
    </w:p>
    <w:p>
      <w:pPr>
        <w:spacing w:after="30"/>
        <w:ind w:left="170"/>
      </w:pPr>
      <w:r>
        <w:t>10. Permanent model-routing vendor policy is unchanged by TASK-006.</w:t>
      </w:r>
    </w:p>
    <w:p>
      <w:r>
        <w:br w:type="page"/>
      </w:r>
    </w:p>
    <w:p>
      <w:pPr>
        <w:pStyle w:val="Heading1"/>
      </w:pPr>
      <w:r>
        <w:t>3. Fifteen-Phase Internal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vAlign w:val="center"/>
            <w:shd w:fill="EDEDED"/>
          </w:tcPr>
          <w:p>
            <w:r>
              <w:rPr>
                <w:rFonts w:ascii="Noto Sans CJK JP" w:hAnsi="Noto Sans CJK JP" w:eastAsia="Noto Sans CJK JP"/>
                <w:sz w:val="17"/>
              </w:rPr>
              <w:t>Phase</w:t>
            </w:r>
          </w:p>
        </w:tc>
        <w:tc>
          <w:tcPr>
            <w:tcW w:type="dxa" w:w="3362"/>
            <w:vAlign w:val="center"/>
            <w:shd w:fill="EDEDED"/>
          </w:tcPr>
          <w:p>
            <w:r>
              <w:rPr>
                <w:rFonts w:ascii="Noto Sans CJK JP" w:hAnsi="Noto Sans CJK JP" w:eastAsia="Noto Sans CJK JP"/>
                <w:sz w:val="17"/>
              </w:rPr>
              <w:t>Capability</w:t>
            </w:r>
          </w:p>
        </w:tc>
        <w:tc>
          <w:tcPr>
            <w:tcW w:type="dxa" w:w="3362"/>
            <w:vAlign w:val="center"/>
            <w:shd w:fill="EDEDED"/>
          </w:tcPr>
          <w:p>
            <w:r>
              <w:rPr>
                <w:rFonts w:ascii="Noto Sans CJK JP" w:hAnsi="Noto Sans CJK JP" w:eastAsia="Noto Sans CJK JP"/>
                <w:sz w:val="17"/>
              </w:rPr>
              <w:t>Completion Result</w:t>
            </w:r>
          </w:p>
        </w:tc>
      </w:tr>
      <w:tr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1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Registry / Discovery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deterministic, hash-bound indexes with root safety</w:t>
            </w:r>
          </w:p>
        </w:tc>
      </w:tr>
      <w:tr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2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Runtime / Environment / Shell / Root Resolution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probe-evidence runtime profile and command dialect</w:t>
            </w:r>
          </w:p>
        </w:tc>
      </w:tr>
      <w:tr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3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Activation Validation / Startup Package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bounded role startup contract and activation guard</w:t>
            </w:r>
          </w:p>
        </w:tc>
      </w:tr>
      <w:tr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4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Project / Risk Resolution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explicit project identity and adaptive DEV profile</w:t>
            </w:r>
          </w:p>
        </w:tc>
      </w:tr>
      <w:tr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5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TASK-005 Knowledge Resolver Integration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version-pinned Knowledge Pack through Context Manifest</w:t>
            </w:r>
          </w:p>
        </w:tc>
      </w:tr>
      <w:tr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6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Instruction Compiler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deterministic instruction package with authority bindings</w:t>
            </w:r>
          </w:p>
        </w:tc>
      </w:tr>
      <w:tr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7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Owner Decision Support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authorization proposal, never self-authorization</w:t>
            </w:r>
          </w:p>
        </w:tc>
      </w:tr>
      <w:tr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8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Reliability / Retry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bounded retry classification and changed-hypothesis requirement</w:t>
            </w:r>
          </w:p>
        </w:tc>
      </w:tr>
      <w:tr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9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Restart / Session / Worktree Evidence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safe restart validation and current Git evidence</w:t>
            </w:r>
          </w:p>
        </w:tc>
      </w:tr>
      <w:tr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10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Document Resolution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current canonical document resolution and conflict Safe Stop</w:t>
            </w:r>
          </w:p>
        </w:tc>
      </w:tr>
      <w:tr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11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Document Synchronization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authorized derived-view synchronization and verification</w:t>
            </w:r>
          </w:p>
        </w:tc>
      </w:tr>
      <w:tr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12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Probe / Mutation / Fault Injection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read probes plus authorized sandbox mutation/fault tests</w:t>
            </w:r>
          </w:p>
        </w:tc>
      </w:tr>
      <w:tr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13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Advanced Guard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context/model/prompt/cache/budget optimization boundary</w:t>
            </w:r>
          </w:p>
        </w:tc>
      </w:tr>
      <w:tr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14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Conditional Automation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scheduling, plan, gate, result, outbox and authority-aware automation</w:t>
            </w:r>
          </w:p>
        </w:tc>
      </w:tr>
      <w:tr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15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End-to-End Governance Validation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integrated Registry→Runtime→Knowledge→Startup→Instruction→Plan flow</w:t>
            </w:r>
          </w:p>
        </w:tc>
      </w:tr>
    </w:tbl>
    <w:p>
      <w:r>
        <w:br w:type="page"/>
      </w:r>
    </w:p>
    <w:p>
      <w:pPr>
        <w:pStyle w:val="Heading1"/>
      </w:pPr>
      <w:r>
        <w:t>4. Phase 1 — Workspace Registry and Discovery</w:t>
      </w:r>
    </w:p>
    <w:p>
      <w:pPr>
        <w:pStyle w:val="Heading2"/>
      </w:pPr>
      <w:r>
        <w:t>4.1 Registry Contract</w:t>
      </w:r>
    </w:p>
    <w:p>
      <w:pPr>
        <w:pStyle w:val="BodyText"/>
        <w:spacing w:after="80"/>
      </w:pPr>
      <w:r>
        <w:t>Workspace Registry records paths, category, size, checksum and loading hints. It is disposable/rebuildable derived state and must never become the canonical content source.</w:t>
      </w:r>
    </w:p>
    <w:p>
      <w:pPr>
        <w:pStyle w:val="BodyText"/>
        <w:spacing w:after="80"/>
      </w:pPr>
      <w:r>
        <w:t>rebuildWorkspaceRegistry(root):</w:t>
      </w:r>
    </w:p>
    <w:p>
      <w:pPr>
        <w:spacing w:after="30"/>
        <w:ind w:left="283"/>
      </w:pPr>
      <w:r>
        <w:t>• scans explicit product-owned categories;</w:t>
      </w:r>
    </w:p>
    <w:p>
      <w:pPr>
        <w:spacing w:after="30"/>
        <w:ind w:left="283"/>
      </w:pPr>
      <w:r>
        <w:t>• excludes .git, node_modules, dist and non-product build artifacts;</w:t>
      </w:r>
    </w:p>
    <w:p>
      <w:pPr>
        <w:spacing w:after="30"/>
        <w:ind w:left="283"/>
      </w:pPr>
      <w:r>
        <w:t>• records SHA-256 and metadata;</w:t>
      </w:r>
    </w:p>
    <w:p>
      <w:pPr>
        <w:spacing w:after="30"/>
        <w:ind w:left="283"/>
      </w:pPr>
      <w:r>
        <w:t>• does not follow arbitrary symlinks;</w:t>
      </w:r>
    </w:p>
    <w:p>
      <w:pPr>
        <w:spacing w:after="30"/>
        <w:ind w:left="283"/>
      </w:pPr>
      <w:r>
        <w:t>• returns content_authority: false.</w:t>
      </w:r>
    </w:p>
    <w:p>
      <w:pPr>
        <w:pStyle w:val="BodyText"/>
        <w:spacing w:after="80"/>
      </w:pPr>
      <w:r>
        <w:t>verifyWorkspaceRegistry detects missing files, checksum mismatch, size mismatch and root escape.</w:t>
      </w:r>
    </w:p>
    <w:p>
      <w:pPr>
        <w:pStyle w:val="Heading2"/>
      </w:pPr>
      <w:r>
        <w:t>4.2 Multi-Project Project Index</w:t>
      </w:r>
    </w:p>
    <w:p>
      <w:pPr>
        <w:pStyle w:val="BodyText"/>
        <w:spacing w:after="80"/>
      </w:pPr>
      <w:r>
        <w:t>buildWorkspaceProjectIndex({ workspace_root, projects }) creates an explicit project index for the OS and consumers. Every project requires a unique project_id, canonical realpath and manifest hash. Project roots must remain under the declared workspace root.</w:t>
      </w:r>
    </w:p>
    <w:p>
      <w:pPr>
        <w:pStyle w:val="BodyText"/>
        <w:spacing w:after="80"/>
      </w:pPr>
      <w:r>
        <w:t>This index solves the single-product-root limitation without turning the Registry into Project configuration authority.</w:t>
      </w:r>
    </w:p>
    <w:p>
      <w:pPr>
        <w:pStyle w:val="Heading2"/>
      </w:pPr>
      <w:r>
        <w:t>4.3 Persisted Registry Mutation</w:t>
      </w:r>
    </w:p>
    <w:p>
      <w:pPr>
        <w:pStyle w:val="BodyText"/>
        <w:spacing w:after="80"/>
      </w:pPr>
      <w:r>
        <w:t>persistWorkspaceRegistry requires explicit authorization and writes atomically to .bai-os/workspace-registry.json. createRegistryUpdateProposal allows preview/diff without mutation.</w:t>
      </w:r>
    </w:p>
    <w:p>
      <w:r>
        <w:br w:type="page"/>
      </w:r>
    </w:p>
    <w:p>
      <w:pPr>
        <w:pStyle w:val="Heading1"/>
      </w:pPr>
      <w:r>
        <w:t>5. Phase 2 — Runtime, Environment, Shell and Root Resolution</w:t>
      </w:r>
    </w:p>
    <w:p>
      <w:pPr>
        <w:pStyle w:val="BodyText"/>
        <w:spacing w:after="80"/>
      </w:pPr>
      <w:r>
        <w:t>Runtime resolution accepts only current probe evidence. Supported runtime profile fields include platform, architecture, shell, current working directory, workspace/project roots and capability evidence.</w:t>
      </w:r>
    </w:p>
    <w:p>
      <w:pPr>
        <w:pStyle w:val="BodyText"/>
        <w:spacing w:after="80"/>
      </w:pPr>
      <w:r>
        <w:t>Rules:</w:t>
      </w:r>
    </w:p>
    <w:p>
      <w:pPr>
        <w:spacing w:after="30"/>
        <w:ind w:left="283"/>
      </w:pPr>
      <w:r>
        <w:t>• supported platform: linux, darwin, win32;</w:t>
      </w:r>
    </w:p>
    <w:p>
      <w:pPr>
        <w:spacing w:after="30"/>
        <w:ind w:left="283"/>
      </w:pPr>
      <w:r>
        <w:t>• supported shell includes bash/sh/zsh/fish/powershell/cmd;</w:t>
      </w:r>
    </w:p>
    <w:p>
      <w:pPr>
        <w:spacing w:after="30"/>
        <w:ind w:left="283"/>
      </w:pPr>
      <w:r>
        <w:t>• UI labels alone cannot establish runtime facts;</w:t>
      </w:r>
    </w:p>
    <w:p>
      <w:pPr>
        <w:spacing w:after="30"/>
        <w:ind w:left="283"/>
      </w:pPr>
      <w:r>
        <w:t>• project root must resolve inside workspace root;</w:t>
      </w:r>
    </w:p>
    <w:p>
      <w:pPr>
        <w:spacing w:after="30"/>
        <w:ind w:left="283"/>
      </w:pPr>
      <w:r>
        <w:t>• command dialect derives from resolved runtime, not guessed environment;</w:t>
      </w:r>
    </w:p>
    <w:p>
      <w:pPr>
        <w:spacing w:after="30"/>
        <w:ind w:left="283"/>
      </w:pPr>
      <w:r>
        <w:t>• NOT_READY or unknown readiness cannot pass via suffix/string heuristics.</w:t>
      </w:r>
    </w:p>
    <w:p>
      <w:r>
        <w:br w:type="page"/>
      </w:r>
    </w:p>
    <w:p>
      <w:pPr>
        <w:pStyle w:val="Heading1"/>
      </w:pPr>
      <w:r>
        <w:t>6. Phase 3 — Activation Validation and Role Startup Package</w:t>
      </w:r>
    </w:p>
    <w:p>
      <w:pPr>
        <w:pStyle w:val="BodyText"/>
        <w:spacing w:after="80"/>
      </w:pPr>
      <w:r>
        <w:t>buildRoleStartupPackage binds:</w:t>
      </w:r>
    </w:p>
    <w:p>
      <w:pPr>
        <w:spacing w:after="30"/>
        <w:ind w:left="283"/>
      </w:pPr>
      <w:r>
        <w:t>• project/task/role/phase;</w:t>
      </w:r>
    </w:p>
    <w:p>
      <w:pPr>
        <w:spacing w:after="30"/>
        <w:ind w:left="283"/>
      </w:pPr>
      <w:r>
        <w:t>• task/status revision and authorization facts;</w:t>
      </w:r>
    </w:p>
    <w:p>
      <w:pPr>
        <w:spacing w:after="30"/>
        <w:ind w:left="283"/>
      </w:pPr>
      <w:r>
        <w:t>• runtime profile and environment capabilities;</w:t>
      </w:r>
    </w:p>
    <w:p>
      <w:pPr>
        <w:spacing w:after="30"/>
        <w:ind w:left="283"/>
      </w:pPr>
      <w:r>
        <w:t>• adaptive development profile/risk;</w:t>
      </w:r>
    </w:p>
    <w:p>
      <w:pPr>
        <w:spacing w:after="30"/>
        <w:ind w:left="283"/>
      </w:pPr>
      <w:r>
        <w:t>• resolved Knowledge Pack;</w:t>
      </w:r>
    </w:p>
    <w:p>
      <w:pPr>
        <w:spacing w:after="30"/>
        <w:ind w:left="283"/>
      </w:pPr>
      <w:r>
        <w:t>• TASK-004 Context Manifest;</w:t>
      </w:r>
    </w:p>
    <w:p>
      <w:pPr>
        <w:spacing w:after="30"/>
        <w:ind w:left="283"/>
      </w:pPr>
      <w:r>
        <w:t>• model/independent-review routing facts;</w:t>
      </w:r>
    </w:p>
    <w:p>
      <w:pPr>
        <w:spacing w:after="30"/>
        <w:ind w:left="283"/>
      </w:pPr>
      <w:r>
        <w:t>• allowed/protected paths;</w:t>
      </w:r>
    </w:p>
    <w:p>
      <w:pPr>
        <w:spacing w:after="30"/>
        <w:ind w:left="283"/>
      </w:pPr>
      <w:r>
        <w:t>• stop conditions and expected outputs;</w:t>
      </w:r>
    </w:p>
    <w:p>
      <w:pPr>
        <w:spacing w:after="30"/>
        <w:ind w:left="283"/>
      </w:pPr>
      <w:r>
        <w:t>• prompt binding checksum.</w:t>
      </w:r>
    </w:p>
    <w:p>
      <w:pPr>
        <w:pStyle w:val="BodyText"/>
        <w:spacing w:after="80"/>
      </w:pPr>
      <w:r>
        <w:t>validateRoleActivation revalidates task/phase/status revision, authorization, worktree and startup bindings immediately before activation. Any contradiction Safe Stops.</w:t>
      </w:r>
    </w:p>
    <w:p>
      <w:r>
        <w:br w:type="page"/>
      </w:r>
    </w:p>
    <w:p>
      <w:pPr>
        <w:pStyle w:val="Heading1"/>
      </w:pPr>
      <w:r>
        <w:t>7. Phase 4 — Project and Risk Resolution</w:t>
      </w:r>
    </w:p>
    <w:p>
      <w:pPr>
        <w:pStyle w:val="BodyText"/>
        <w:spacing w:after="80"/>
      </w:pPr>
      <w:r>
        <w:t>resolveProject uses explicit Registry/Project Index records and canonical roots. Ambiguous or missing project identity is not inferred.</w:t>
      </w:r>
    </w:p>
    <w:p>
      <w:pPr>
        <w:pStyle w:val="BodyText"/>
        <w:spacing w:after="80"/>
      </w:pPr>
      <w:r>
        <w:t>resolveRisk delegates to TASK-004 Adaptive Development Governance. TASK-006 does not invent a second risk policy. The resulting DEV-0 through DEV-4 profile controls review/test/evidence depth while preserving mandatory safety floors.</w:t>
      </w:r>
    </w:p>
    <w:p>
      <w:r>
        <w:br w:type="page"/>
      </w:r>
    </w:p>
    <w:p>
      <w:pPr>
        <w:pStyle w:val="Heading1"/>
      </w:pPr>
      <w:r>
        <w:t>8. Phase 5 — Knowledge Resolver Integration</w:t>
      </w:r>
    </w:p>
    <w:p>
      <w:pPr>
        <w:pStyle w:val="BodyText"/>
        <w:spacing w:after="80"/>
      </w:pPr>
      <w:r>
        <w:t>resolveTaskKnowledge delegates to TASK-005 Knowledge Repository/Resolver and produces a version-pinned Knowledge Pack. TASK-006 records:</w:t>
      </w:r>
    </w:p>
    <w:p>
      <w:pPr>
        <w:spacing w:after="30"/>
        <w:ind w:left="283"/>
      </w:pPr>
      <w:r>
        <w:t>• context_ingestion_required: true;</w:t>
      </w:r>
    </w:p>
    <w:p>
      <w:pPr>
        <w:spacing w:after="30"/>
        <w:ind w:left="283"/>
      </w:pPr>
      <w:r>
        <w:t>• registry_is_knowledge_authority: false.</w:t>
      </w:r>
    </w:p>
    <w:p>
      <w:pPr>
        <w:pStyle w:val="BodyText"/>
        <w:spacing w:after="80"/>
      </w:pPr>
      <w:r>
        <w:t>The Pack is converted into a TRUSTED TASK-004 Context Source and included in Context Manifest before execution. Registry lookup cannot bypass Knowledge Governance.</w:t>
      </w:r>
    </w:p>
    <w:p>
      <w:r>
        <w:br w:type="page"/>
      </w:r>
    </w:p>
    <w:p>
      <w:pPr>
        <w:pStyle w:val="Heading1"/>
      </w:pPr>
      <w:r>
        <w:t>9. Phase 6 — Instruction Compiler</w:t>
      </w:r>
    </w:p>
    <w:p>
      <w:pPr>
        <w:pStyle w:val="BodyText"/>
        <w:spacing w:after="80"/>
      </w:pPr>
      <w:r>
        <w:t>compileOrchestratorInstruction deterministically combines Startup Package, assignment, expected outputs, constraints, allowed/protected paths, stop conditions and authority facts into an execution instruction.</w:t>
      </w:r>
    </w:p>
    <w:p>
      <w:pPr>
        <w:pStyle w:val="BodyText"/>
        <w:spacing w:after="80"/>
      </w:pPr>
      <w:r>
        <w:t>The compiler must not manufacture authorization, task status or Knowledge. It compiles already-resolved canonical facts.</w:t>
      </w:r>
    </w:p>
    <w:p>
      <w:r>
        <w:br w:type="page"/>
      </w:r>
    </w:p>
    <w:p>
      <w:pPr>
        <w:pStyle w:val="Heading1"/>
      </w:pPr>
      <w:r>
        <w:t>10. Phase 7 — Owner Decision Support</w:t>
      </w:r>
    </w:p>
    <w:p>
      <w:pPr>
        <w:pStyle w:val="BodyText"/>
        <w:spacing w:after="80"/>
      </w:pPr>
      <w:r>
        <w:t>createOwnerAuthorizationProposal creates a bounded proposal containing requested action, rationale, scope, expiry, risk and proposed authorization effect.</w:t>
      </w:r>
    </w:p>
    <w:p>
      <w:pPr>
        <w:pStyle w:val="BodyText"/>
        <w:spacing w:after="80"/>
      </w:pPr>
      <w:r>
        <w:t>Binding fields:</w:t>
      </w:r>
    </w:p>
    <w:p>
      <w:pPr>
        <w:spacing w:after="30"/>
        <w:ind w:left="283"/>
      </w:pPr>
      <w:r>
        <w:t>• owner_approval_required: true;</w:t>
      </w:r>
    </w:p>
    <w:p>
      <w:pPr>
        <w:spacing w:after="30"/>
        <w:ind w:left="283"/>
      </w:pPr>
      <w:r>
        <w:t>• authorization_granted: false.</w:t>
      </w:r>
    </w:p>
    <w:p>
      <w:pPr>
        <w:pStyle w:val="BodyText"/>
        <w:spacing w:after="80"/>
      </w:pPr>
      <w:r>
        <w:t>validateOwnerApproval verifies identity/scope/expiry and rejects invalid timestamps. Owner Decision Support is explanatory/proposal infrastructure; it is not a substitute Owner.</w:t>
      </w:r>
    </w:p>
    <w:p>
      <w:r>
        <w:br w:type="page"/>
      </w:r>
    </w:p>
    <w:p>
      <w:pPr>
        <w:pStyle w:val="Heading1"/>
      </w:pPr>
      <w:r>
        <w:t>11. Phase 8 — Reliability and Retry</w:t>
      </w:r>
    </w:p>
    <w:p>
      <w:pPr>
        <w:pStyle w:val="BodyText"/>
        <w:spacing w:after="80"/>
      </w:pPr>
      <w:r>
        <w:t>classifyRetry separates transient vs deterministic failure and applies bounded retry rules.</w:t>
      </w:r>
    </w:p>
    <w:p>
      <w:pPr>
        <w:spacing w:after="30"/>
        <w:ind w:left="283"/>
      </w:pPr>
      <w:r>
        <w:t>• transient failures may be retried within limits;</w:t>
      </w:r>
    </w:p>
    <w:p>
      <w:pPr>
        <w:spacing w:after="30"/>
        <w:ind w:left="283"/>
      </w:pPr>
      <w:r>
        <w:t>• deterministic failures require a changed hypothesis/input before retry;</w:t>
      </w:r>
    </w:p>
    <w:p>
      <w:pPr>
        <w:spacing w:after="30"/>
        <w:ind w:left="283"/>
      </w:pPr>
      <w:r>
        <w:t>• external-side-effect retry requires Owner control;</w:t>
      </w:r>
    </w:p>
    <w:p>
      <w:pPr>
        <w:spacing w:after="30"/>
        <w:ind w:left="283"/>
      </w:pPr>
      <w:r>
        <w:t>• exhausted retry budget Safe Stops.</w:t>
      </w:r>
    </w:p>
    <w:p>
      <w:pPr>
        <w:pStyle w:val="BodyText"/>
        <w:spacing w:after="80"/>
      </w:pPr>
      <w:r>
        <w:t>This works with TASK-004 Execution Budget Guard rather than creating a separate unlimited loop.</w:t>
      </w:r>
    </w:p>
    <w:p>
      <w:r>
        <w:br w:type="page"/>
      </w:r>
    </w:p>
    <w:p>
      <w:pPr>
        <w:pStyle w:val="Heading1"/>
      </w:pPr>
      <w:r>
        <w:t>12. Phase 9 — Session, Restart and Worktree Evidence</w:t>
      </w:r>
    </w:p>
    <w:p>
      <w:pPr>
        <w:pStyle w:val="BodyText"/>
        <w:spacing w:after="80"/>
      </w:pPr>
      <w:r>
        <w:t>TASK-006 uses TASK-004 recovery/checkpoint APIs for restart planning and validation. It does not redefine canonical lifecycle recovery.</w:t>
      </w:r>
    </w:p>
    <w:p>
      <w:pPr>
        <w:pStyle w:val="BodyText"/>
        <w:spacing w:after="80"/>
      </w:pPr>
      <w:r>
        <w:t>resolveWorktreeEvidence obtains current Git facts from the repository instead of trusting stale prose. Session records bind project/task/role/startup identity and can be used to validate continuity after interruption.</w:t>
      </w:r>
    </w:p>
    <w:p>
      <w:r>
        <w:br w:type="page"/>
      </w:r>
    </w:p>
    <w:p>
      <w:pPr>
        <w:pStyle w:val="Heading1"/>
      </w:pPr>
      <w:r>
        <w:t>13. Phase 10 — Canonical Document Resolution</w:t>
      </w:r>
    </w:p>
    <w:p>
      <w:pPr>
        <w:pStyle w:val="BodyText"/>
        <w:spacing w:after="80"/>
      </w:pPr>
      <w:r>
        <w:t>resolveCanonicalDocument chooses a current canonical document only when version/status/authority are unambiguous. Conflicting current canonicals Safe Stop.</w:t>
      </w:r>
    </w:p>
    <w:p>
      <w:pPr>
        <w:pStyle w:val="BodyText"/>
        <w:spacing w:after="80"/>
      </w:pPr>
      <w:r>
        <w:t>buildCanonicalDocumentManifest records selected canonical files and detects duplicate current versions. verifyCanonicalDocumentSet and checkCrossFormatConsistency support MD/DOCX/Summary/Registry synchronization checks without granting mutation authority.</w:t>
      </w:r>
    </w:p>
    <w:p>
      <w:r>
        <w:br w:type="page"/>
      </w:r>
    </w:p>
    <w:p>
      <w:pPr>
        <w:pStyle w:val="Heading1"/>
      </w:pPr>
      <w:r>
        <w:t>14. Phase 11 — Authorized Documentation Synchronization</w:t>
      </w:r>
    </w:p>
    <w:p>
      <w:pPr>
        <w:pStyle w:val="BodyText"/>
        <w:spacing w:after="80"/>
      </w:pPr>
      <w:r>
        <w:t>createDocumentationSyncProposal previews derived-view changes. applyAuthorizedDocumentationSync requires authorization and is limited to derived/document synchronization paths; canonical authority-bearing writes are forbidden by this API.</w:t>
      </w:r>
    </w:p>
    <w:p>
      <w:pPr>
        <w:pStyle w:val="BodyText"/>
        <w:spacing w:after="80"/>
      </w:pPr>
      <w:r>
        <w:t>TASK-004 System Sync verification is reused. Writes are root/symlink safe and prevalidated.</w:t>
      </w:r>
    </w:p>
    <w:p>
      <w:pPr>
        <w:pStyle w:val="BodyText"/>
        <w:spacing w:after="80"/>
      </w:pPr>
      <w:r>
        <w:t>Residual: multi-file derived document synchronization is fail-safe but not a single power-loss-atomic transaction. Journal/recovery belongs to TASK-009/TASK-012.</w:t>
      </w:r>
    </w:p>
    <w:p>
      <w:r>
        <w:br w:type="page"/>
      </w:r>
    </w:p>
    <w:p>
      <w:pPr>
        <w:pStyle w:val="Heading1"/>
      </w:pPr>
      <w:r>
        <w:t>15. Phase 12 — Runtime Probe, Mutation and Fault Injection</w:t>
      </w:r>
    </w:p>
    <w:p>
      <w:pPr>
        <w:pStyle w:val="BodyText"/>
        <w:spacing w:after="80"/>
      </w:pPr>
      <w:r>
        <w:t>runRuntimeProbeSet provides read-only evidence collection.</w:t>
      </w:r>
    </w:p>
    <w:p>
      <w:pPr>
        <w:pStyle w:val="BodyText"/>
        <w:spacing w:after="80"/>
      </w:pPr>
      <w:r>
        <w:t>executeSandboxMutationProbe requires:</w:t>
      </w:r>
    </w:p>
    <w:p>
      <w:pPr>
        <w:spacing w:after="30"/>
        <w:ind w:left="283"/>
      </w:pPr>
      <w:r>
        <w:t>• explicit authorization;</w:t>
      </w:r>
    </w:p>
    <w:p>
      <w:pPr>
        <w:spacing w:after="30"/>
        <w:ind w:left="283"/>
      </w:pPr>
      <w:r>
        <w:t>• sandbox root;</w:t>
      </w:r>
    </w:p>
    <w:p>
      <w:pPr>
        <w:spacing w:after="30"/>
        <w:ind w:left="283"/>
      </w:pPr>
      <w:r>
        <w:t>• target confined inside sandbox.</w:t>
      </w:r>
    </w:p>
    <w:p>
      <w:pPr>
        <w:pStyle w:val="BodyText"/>
        <w:spacing w:after="80"/>
      </w:pPr>
      <w:r>
        <w:t>runFaultInjection additionally requires sandbox_only: true. Production fault injection is refused. This allows reliability validation without normalizing destructive project mutation.</w:t>
      </w:r>
    </w:p>
    <w:p>
      <w:r>
        <w:br w:type="page"/>
      </w:r>
    </w:p>
    <w:p>
      <w:pPr>
        <w:pStyle w:val="Heading1"/>
      </w:pPr>
      <w:r>
        <w:t>16. Phase 13 — Advanced Guard</w:t>
      </w:r>
    </w:p>
    <w:p>
      <w:pPr>
        <w:pStyle w:val="BodyText"/>
        <w:spacing w:after="80"/>
      </w:pPr>
      <w:r>
        <w:t>TASK-006 composes existing guard subsystems instead of replacing them.</w:t>
      </w:r>
    </w:p>
    <w:p>
      <w:pPr>
        <w:pStyle w:val="Heading2"/>
      </w:pPr>
      <w:r>
        <w:t>16.1 Dynamic Context Optimization</w:t>
      </w:r>
    </w:p>
    <w:p>
      <w:pPr>
        <w:pStyle w:val="BodyText"/>
        <w:spacing w:after="80"/>
      </w:pPr>
      <w:r>
        <w:t>optimizeContext delegates to TASK-004 Context Control. Required canonical/trusted sources cannot be silently removed merely to save tokens.</w:t>
      </w:r>
    </w:p>
    <w:p>
      <w:pPr>
        <w:pStyle w:val="Heading2"/>
      </w:pPr>
      <w:r>
        <w:t>16.2 Model Selection With Policy</w:t>
      </w:r>
    </w:p>
    <w:p>
      <w:pPr>
        <w:pStyle w:val="BodyText"/>
        <w:spacing w:after="80"/>
      </w:pPr>
      <w:r>
        <w:t>selectModelWithPolicy consumes TASK-004 Model Control facts and execution requirements. It does not permanently redefine provider/vendor policy.</w:t>
      </w:r>
    </w:p>
    <w:p>
      <w:pPr>
        <w:pStyle w:val="Heading2"/>
      </w:pPr>
      <w:r>
        <w:t>16.3 Prompt Compression</w:t>
      </w:r>
    </w:p>
    <w:p>
      <w:pPr>
        <w:pStyle w:val="BodyText"/>
        <w:spacing w:after="80"/>
      </w:pPr>
      <w:r>
        <w:t>compressPrompt supports any positive output budget and records whether truncation/compression occurred. Arbitrary minimum prompt length is deliberately not imposed.</w:t>
      </w:r>
    </w:p>
    <w:p>
      <w:pPr>
        <w:pStyle w:val="Heading2"/>
      </w:pPr>
      <w:r>
        <w:t>16.4 Dynamic Budget Optimization</w:t>
      </w:r>
    </w:p>
    <w:p>
      <w:pPr>
        <w:pStyle w:val="BodyText"/>
        <w:spacing w:after="80"/>
      </w:pPr>
      <w:r>
        <w:t>optimizeDynamicBudget respects TASK-004 Cost/Execution Budget Guard. Optimization is advisory/bounded and cannot bypass hard limits.</w:t>
      </w:r>
    </w:p>
    <w:p>
      <w:r>
        <w:br w:type="page"/>
      </w:r>
    </w:p>
    <w:p>
      <w:pPr>
        <w:pStyle w:val="Heading1"/>
      </w:pPr>
      <w:r>
        <w:t>17. Phase 14 — Conditional Automation Engine</w:t>
      </w:r>
    </w:p>
    <w:p>
      <w:pPr>
        <w:pStyle w:val="Heading2"/>
      </w:pPr>
      <w:r>
        <w:t>17.1 Action Classification</w:t>
      </w:r>
    </w:p>
    <w:p>
      <w:pPr>
        <w:pStyle w:val="BodyText"/>
        <w:spacing w:after="80"/>
      </w:pPr>
      <w:r>
        <w:t>Automatically executable categories include read/search/design proposal/test-without-external-side-effect/verify.</w:t>
      </w:r>
    </w:p>
    <w:p>
      <w:pPr>
        <w:pStyle w:val="BodyText"/>
        <w:spacing w:after="80"/>
      </w:pPr>
      <w:r>
        <w:t>IMPLEMENT_WRITE may proceed without a second Owner confirmation only when all are true:</w:t>
      </w:r>
    </w:p>
    <w:p>
      <w:pPr>
        <w:spacing w:after="30"/>
        <w:ind w:left="283"/>
      </w:pPr>
      <w:r>
        <w:t>• Lifecycle authorization is already AUTHORIZED;</w:t>
      </w:r>
    </w:p>
    <w:p>
      <w:pPr>
        <w:spacing w:after="30"/>
        <w:ind w:left="283"/>
      </w:pPr>
      <w:r>
        <w:t>• scope is explicitly bound;</w:t>
      </w:r>
    </w:p>
    <w:p>
      <w:pPr>
        <w:spacing w:after="30"/>
        <w:ind w:left="283"/>
      </w:pPr>
      <w:r>
        <w:t>• change is reversible;</w:t>
      </w:r>
    </w:p>
    <w:p>
      <w:pPr>
        <w:spacing w:after="30"/>
        <w:ind w:left="283"/>
      </w:pPr>
      <w:r>
        <w:t>• no external side effect exists.</w:t>
      </w:r>
    </w:p>
    <w:p>
      <w:pPr>
        <w:pStyle w:val="BodyText"/>
        <w:spacing w:after="80"/>
      </w:pPr>
      <w:r>
        <w:t>Owner approval remains mandatory for:</w:t>
      </w:r>
    </w:p>
    <w:p>
      <w:pPr>
        <w:spacing w:after="30"/>
        <w:ind w:left="283"/>
      </w:pPr>
      <w:r>
        <w:t>• irreversible changes;</w:t>
      </w:r>
    </w:p>
    <w:p>
      <w:pPr>
        <w:spacing w:after="30"/>
        <w:ind w:left="283"/>
      </w:pPr>
      <w:r>
        <w:t>• external side effects;</w:t>
      </w:r>
    </w:p>
    <w:p>
      <w:pPr>
        <w:spacing w:after="30"/>
        <w:ind w:left="283"/>
      </w:pPr>
      <w:r>
        <w:t>• policy updates;</w:t>
      </w:r>
    </w:p>
    <w:p>
      <w:pPr>
        <w:spacing w:after="30"/>
        <w:ind w:left="283"/>
      </w:pPr>
      <w:r>
        <w:t>• publication/send actions;</w:t>
      </w:r>
    </w:p>
    <w:p>
      <w:pPr>
        <w:spacing w:after="30"/>
        <w:ind w:left="283"/>
      </w:pPr>
      <w:r>
        <w:t>• delete actions;</w:t>
      </w:r>
    </w:p>
    <w:p>
      <w:pPr>
        <w:spacing w:after="30"/>
        <w:ind w:left="283"/>
      </w:pPr>
      <w:r>
        <w:t>• global Knowledge promotion;</w:t>
      </w:r>
    </w:p>
    <w:p>
      <w:pPr>
        <w:spacing w:after="30"/>
        <w:ind w:left="283"/>
      </w:pPr>
      <w:r>
        <w:t>• unknown action classes.</w:t>
      </w:r>
    </w:p>
    <w:p>
      <w:pPr>
        <w:pStyle w:val="Heading2"/>
      </w:pPr>
      <w:r>
        <w:t>17.2 Automation Plan</w:t>
      </w:r>
    </w:p>
    <w:p>
      <w:pPr>
        <w:pStyle w:val="BodyText"/>
        <w:spacing w:after="80"/>
      </w:pPr>
      <w:r>
        <w:t>createAutomationPlan always exposes:</w:t>
      </w:r>
    </w:p>
    <w:p>
      <w:pPr>
        <w:spacing w:after="30"/>
        <w:ind w:left="283"/>
      </w:pPr>
      <w:r>
        <w:t>• lifecycle_mutation_authority: false;</w:t>
      </w:r>
    </w:p>
    <w:p>
      <w:pPr>
        <w:spacing w:after="30"/>
        <w:ind w:left="283"/>
      </w:pPr>
      <w:r>
        <w:t>• knowledge_content_authority: false.</w:t>
      </w:r>
    </w:p>
    <w:p>
      <w:pPr>
        <w:pStyle w:val="BodyText"/>
        <w:spacing w:after="80"/>
      </w:pPr>
      <w:r>
        <w:t>The plan is an execution plan, not an authority grant.</w:t>
      </w:r>
    </w:p>
    <w:p>
      <w:pPr>
        <w:pStyle w:val="Heading2"/>
      </w:pPr>
      <w:r>
        <w:t>17.3 Scheduler and Gate Evaluation</w:t>
      </w:r>
    </w:p>
    <w:p>
      <w:pPr>
        <w:pStyle w:val="BodyText"/>
        <w:spacing w:after="80"/>
      </w:pPr>
      <w:r>
        <w:t>Scheduler provides dependency-aware topological ordering, cycle/missing-dependency rejection, runnable/waiting selection, deadline checks, result normalization and deterministic gate evaluation.</w:t>
      </w:r>
    </w:p>
    <w:p>
      <w:r>
        <w:br w:type="page"/>
      </w:r>
    </w:p>
    <w:p>
      <w:pPr>
        <w:pStyle w:val="Heading1"/>
      </w:pPr>
      <w:r>
        <w:t>18. Completion Outbox Consumer</w:t>
      </w:r>
    </w:p>
    <w:p>
      <w:pPr>
        <w:pStyle w:val="BodyText"/>
        <w:spacing w:after="80"/>
      </w:pPr>
      <w:r>
        <w:t>validateVerifiedOutboxEvent accepts only VERIFIED_DURABLE_OUTBOX events that bind task/revision/checksum to a verified canonical read and PASS gate.</w:t>
      </w:r>
    </w:p>
    <w:p>
      <w:pPr>
        <w:pStyle w:val="BodyText"/>
        <w:spacing w:after="80"/>
      </w:pPr>
      <w:r>
        <w:t>consumeDerivedSyncOutbox:</w:t>
      </w:r>
    </w:p>
    <w:p>
      <w:pPr>
        <w:spacing w:after="30"/>
        <w:ind w:left="283"/>
      </w:pPr>
      <w:r>
        <w:t>• requires authorization;</w:t>
      </w:r>
    </w:p>
    <w:p>
      <w:pPr>
        <w:spacing w:after="30"/>
        <w:ind w:left="283"/>
      </w:pPr>
      <w:r>
        <w:t>• writes idempotency acknowledgements under .bai-os/automation/derived-sync-acks.jsonl;</w:t>
      </w:r>
    </w:p>
    <w:p>
      <w:pPr>
        <w:spacing w:after="30"/>
        <w:ind w:left="283"/>
      </w:pPr>
      <w:r>
        <w:t>• prevents duplicate reapplication;</w:t>
      </w:r>
    </w:p>
    <w:p>
      <w:pPr>
        <w:spacing w:after="30"/>
        <w:ind w:left="283"/>
      </w:pPr>
      <w:r>
        <w:t>• returns DERIVED_SYNC_PENDING on derived sync failure;</w:t>
      </w:r>
    </w:p>
    <w:p>
      <w:pPr>
        <w:spacing w:after="30"/>
        <w:ind w:left="283"/>
      </w:pPr>
      <w:r>
        <w:t>• always records canonical_completion_rolled_back: false.</w:t>
      </w:r>
    </w:p>
    <w:p>
      <w:pPr>
        <w:pStyle w:val="BodyText"/>
        <w:spacing w:after="80"/>
      </w:pPr>
      <w:r>
        <w:t>Canonical TASK completion cannot be undone because a derived view failed to update.</w:t>
      </w:r>
    </w:p>
    <w:p>
      <w:r>
        <w:br w:type="page"/>
      </w:r>
    </w:p>
    <w:p>
      <w:pPr>
        <w:pStyle w:val="Heading1"/>
      </w:pPr>
      <w:r>
        <w:t>19. End-to-End Service Flow</w:t>
      </w:r>
    </w:p>
    <w:p>
      <w:pPr>
        <w:pStyle w:val="BodyText"/>
        <w:spacing w:after="80"/>
      </w:pPr>
      <w:r>
        <w:t>prepareAutomationRun composes the subsystem as:</w:t>
      </w:r>
    </w:p>
    <w:p>
      <w:pPr>
        <w:spacing w:before="80" w:after="120"/>
      </w:pPr>
      <w:r>
        <w:rPr>
          <w:rFonts w:ascii="Liberation Mono" w:hAnsi="Liberation Mono" w:eastAsia="Noto Sans Mono CJK JP"/>
          <w:sz w:val="16"/>
        </w:rPr>
        <w:t>Workspace Registry / Project Index</w:t>
        <w:br/>
        <w:t xml:space="preserve">        ↓</w:t>
        <w:br/>
        <w:t>Runtime Probe / Environment Resolution</w:t>
        <w:br/>
        <w:t xml:space="preserve">        ↓</w:t>
        <w:br/>
        <w:t>Project + Adaptive Risk Resolution</w:t>
        <w:br/>
        <w:t xml:space="preserve">        ↓</w:t>
        <w:br/>
        <w:t>TASK-005 Knowledge Resolution</w:t>
        <w:br/>
        <w:t xml:space="preserve">        ↓</w:t>
        <w:br/>
        <w:t>TASK-004 Context Manifest</w:t>
        <w:br/>
        <w:t xml:space="preserve">        ↓</w:t>
        <w:br/>
        <w:t>Role Startup Package</w:t>
        <w:br/>
        <w:t xml:space="preserve">        ↓</w:t>
        <w:br/>
        <w:t>Instruction Compiler</w:t>
        <w:br/>
        <w:t xml:space="preserve">        ↓</w:t>
        <w:br/>
        <w:t>Automation Plan</w:t>
        <w:br/>
        <w:t xml:space="preserve">        ↓</w:t>
        <w:br/>
        <w:t>Owner Proposal only when required</w:t>
        <w:br/>
        <w:t xml:space="preserve">        ↓</w:t>
        <w:br/>
        <w:t>Authorized Execution / Verification</w:t>
      </w:r>
    </w:p>
    <w:p>
      <w:pPr>
        <w:pStyle w:val="BodyText"/>
        <w:spacing w:after="80"/>
      </w:pPr>
      <w:r>
        <w:t>At no point does the service self-authorize.</w:t>
      </w:r>
    </w:p>
    <w:p>
      <w:r>
        <w:br w:type="page"/>
      </w:r>
    </w:p>
    <w:p>
      <w:pPr>
        <w:pStyle w:val="Heading1"/>
      </w:pPr>
      <w:r>
        <w:t>20. Public Runtime Layout</w:t>
      </w:r>
    </w:p>
    <w:p>
      <w:pPr>
        <w:spacing w:before="80" w:after="120"/>
      </w:pPr>
      <w:r>
        <w:rPr>
          <w:rFonts w:ascii="Liberation Mono" w:hAnsi="Liberation Mono" w:eastAsia="Noto Sans Mono CJK JP"/>
          <w:sz w:val="16"/>
        </w:rPr>
        <w:t>src/automation/</w:t>
        <w:br/>
        <w:t xml:space="preserve">  util.mjs</w:t>
        <w:br/>
        <w:t xml:space="preserve">  registry.mjs</w:t>
        <w:br/>
        <w:t xml:space="preserve">  runtime.mjs</w:t>
        <w:br/>
        <w:t xml:space="preserve">  resolution.mjs</w:t>
        <w:br/>
        <w:t xml:space="preserve">  startup.mjs</w:t>
        <w:br/>
        <w:t xml:space="preserve">  instruction.mjs</w:t>
        <w:br/>
        <w:t xml:space="preserve">  reliability.mjs</w:t>
        <w:br/>
        <w:t xml:space="preserve">  documents.mjs</w:t>
        <w:br/>
        <w:t xml:space="preserve">  advanced-guard.mjs</w:t>
        <w:br/>
        <w:t xml:space="preserve">  engine.mjs</w:t>
        <w:br/>
        <w:t xml:space="preserve">  probe.mjs</w:t>
        <w:br/>
        <w:t xml:space="preserve">  outbox.mjs</w:t>
        <w:br/>
        <w:t xml:space="preserve">  scheduler.mjs</w:t>
        <w:br/>
        <w:t xml:space="preserve">  service.mjs</w:t>
        <w:br/>
        <w:t xml:space="preserve">  index.mjs</w:t>
      </w:r>
    </w:p>
    <w:p>
      <w:pPr>
        <w:pStyle w:val="BodyText"/>
        <w:spacing w:after="80"/>
      </w:pPr>
      <w:r>
        <w:t>Public package export: bai-development-os/automation; root namespace: AutomationOS.</w:t>
      </w:r>
    </w:p>
    <w:p>
      <w:r>
        <w:br w:type="page"/>
      </w:r>
    </w:p>
    <w:p>
      <w:pPr>
        <w:pStyle w:val="Heading1"/>
      </w:pPr>
      <w:r>
        <w:t>21. Canonical Machine Schemas</w:t>
      </w:r>
    </w:p>
    <w:p>
      <w:pPr>
        <w:spacing w:after="30"/>
        <w:ind w:left="283"/>
      </w:pPr>
      <w:r>
        <w:t>• schemas/automation/authorization-proposal.schema.json</w:t>
      </w:r>
    </w:p>
    <w:p>
      <w:pPr>
        <w:spacing w:after="30"/>
        <w:ind w:left="283"/>
      </w:pPr>
      <w:r>
        <w:t>• schemas/automation/automation-plan.schema.json</w:t>
      </w:r>
    </w:p>
    <w:p>
      <w:pPr>
        <w:spacing w:after="30"/>
        <w:ind w:left="283"/>
      </w:pPr>
      <w:r>
        <w:t>• schemas/automation/canonical-document-manifest.schema.json</w:t>
      </w:r>
    </w:p>
    <w:p>
      <w:pPr>
        <w:spacing w:after="30"/>
        <w:ind w:left="283"/>
      </w:pPr>
      <w:r>
        <w:t>• schemas/automation/derived-sync-ack.schema.json</w:t>
      </w:r>
    </w:p>
    <w:p>
      <w:pPr>
        <w:spacing w:after="30"/>
        <w:ind w:left="283"/>
      </w:pPr>
      <w:r>
        <w:t>• schemas/automation/role-startup-package.schema.json</w:t>
      </w:r>
    </w:p>
    <w:p>
      <w:pPr>
        <w:spacing w:after="30"/>
        <w:ind w:left="283"/>
      </w:pPr>
      <w:r>
        <w:t>• schemas/automation/runtime-profile.schema.json</w:t>
      </w:r>
    </w:p>
    <w:p>
      <w:pPr>
        <w:spacing w:after="30"/>
        <w:ind w:left="283"/>
      </w:pPr>
      <w:r>
        <w:t>• schemas/automation/session-record.schema.json</w:t>
      </w:r>
    </w:p>
    <w:p>
      <w:pPr>
        <w:spacing w:after="30"/>
        <w:ind w:left="283"/>
      </w:pPr>
      <w:r>
        <w:t>• schemas/automation/workspace-project-index.schema.json</w:t>
      </w:r>
    </w:p>
    <w:p>
      <w:pPr>
        <w:spacing w:after="30"/>
        <w:ind w:left="283"/>
      </w:pPr>
      <w:r>
        <w:t>• schemas/automation/workspace-registry.schema.json</w:t>
      </w:r>
    </w:p>
    <w:p>
      <w:pPr>
        <w:pStyle w:val="BodyText"/>
        <w:spacing w:after="80"/>
      </w:pPr>
      <w:r>
        <w:t>All are JSON Schema Draft 2020-12 contracts.</w:t>
      </w:r>
    </w:p>
    <w:p>
      <w:r>
        <w:br w:type="page"/>
      </w:r>
    </w:p>
    <w:p>
      <w:pPr>
        <w:pStyle w:val="Heading1"/>
      </w:pPr>
      <w:r>
        <w:t>22. Testing Strategy — DEV-4</w:t>
      </w:r>
    </w:p>
    <w:p>
      <w:pPr>
        <w:pStyle w:val="BodyText"/>
        <w:spacing w:after="80"/>
      </w:pPr>
      <w:r>
        <w:t>TASK-006 is foundation-critical. Required assurance covers:</w:t>
      </w:r>
    </w:p>
    <w:p>
      <w:pPr>
        <w:spacing w:after="30"/>
        <w:ind w:left="283"/>
      </w:pPr>
      <w:r>
        <w:t>• Registry checksum/size/root and symlink boundaries;</w:t>
      </w:r>
    </w:p>
    <w:p>
      <w:pPr>
        <w:spacing w:after="30"/>
        <w:ind w:left="283"/>
      </w:pPr>
      <w:r>
        <w:t>• multi-project index ambiguity/root escape;</w:t>
      </w:r>
    </w:p>
    <w:p>
      <w:pPr>
        <w:spacing w:after="30"/>
        <w:ind w:left="283"/>
      </w:pPr>
      <w:r>
        <w:t>• runtime probe evidence and NOT_READY false-positive prevention;</w:t>
      </w:r>
    </w:p>
    <w:p>
      <w:pPr>
        <w:spacing w:after="30"/>
        <w:ind w:left="283"/>
      </w:pPr>
      <w:r>
        <w:t>• project/risk resolver determinism;</w:t>
      </w:r>
    </w:p>
    <w:p>
      <w:pPr>
        <w:spacing w:after="30"/>
        <w:ind w:left="283"/>
      </w:pPr>
      <w:r>
        <w:t>• Knowledge Pack → Context Manifest boundary;</w:t>
      </w:r>
    </w:p>
    <w:p>
      <w:pPr>
        <w:spacing w:after="30"/>
        <w:ind w:left="283"/>
      </w:pPr>
      <w:r>
        <w:t>• startup task/phase/revision/auth/worktree mismatch;</w:t>
      </w:r>
    </w:p>
    <w:p>
      <w:pPr>
        <w:spacing w:after="30"/>
        <w:ind w:left="283"/>
      </w:pPr>
      <w:r>
        <w:t>• invalid/expired Owner approval;</w:t>
      </w:r>
    </w:p>
    <w:p>
      <w:pPr>
        <w:spacing w:after="30"/>
        <w:ind w:left="283"/>
      </w:pPr>
      <w:r>
        <w:t>• bounded transient/deterministic retries;</w:t>
      </w:r>
    </w:p>
    <w:p>
      <w:pPr>
        <w:spacing w:after="30"/>
        <w:ind w:left="283"/>
      </w:pPr>
      <w:r>
        <w:t>• restart/session/worktree evidence;</w:t>
      </w:r>
    </w:p>
    <w:p>
      <w:pPr>
        <w:spacing w:after="30"/>
        <w:ind w:left="283"/>
      </w:pPr>
      <w:r>
        <w:t>• duplicate/conflicting current canonical documents;</w:t>
      </w:r>
    </w:p>
    <w:p>
      <w:pPr>
        <w:spacing w:after="30"/>
        <w:ind w:left="283"/>
      </w:pPr>
      <w:r>
        <w:t>• documentation sync authorization/root boundaries;</w:t>
      </w:r>
    </w:p>
    <w:p>
      <w:pPr>
        <w:spacing w:after="30"/>
        <w:ind w:left="283"/>
      </w:pPr>
      <w:r>
        <w:t>• prompt/context/model/budget guard composition;</w:t>
      </w:r>
    </w:p>
    <w:p>
      <w:pPr>
        <w:spacing w:after="30"/>
        <w:ind w:left="283"/>
      </w:pPr>
      <w:r>
        <w:t>• already-authorized implementation vs redundant Owner gate;</w:t>
      </w:r>
    </w:p>
    <w:p>
      <w:pPr>
        <w:spacing w:after="30"/>
        <w:ind w:left="283"/>
      </w:pPr>
      <w:r>
        <w:t>• unknown/irreversible/external/policy action Safe Stop;</w:t>
      </w:r>
    </w:p>
    <w:p>
      <w:pPr>
        <w:spacing w:after="30"/>
        <w:ind w:left="283"/>
      </w:pPr>
      <w:r>
        <w:t>• sandbox-only mutation/fault injection;</w:t>
      </w:r>
    </w:p>
    <w:p>
      <w:pPr>
        <w:spacing w:after="30"/>
        <w:ind w:left="283"/>
      </w:pPr>
      <w:r>
        <w:t>• verified outbox, checksum binding and idempotency;</w:t>
      </w:r>
    </w:p>
    <w:p>
      <w:pPr>
        <w:spacing w:after="30"/>
        <w:ind w:left="283"/>
      </w:pPr>
      <w:r>
        <w:t>• derived-sync failure without canonical completion rollback;</w:t>
      </w:r>
    </w:p>
    <w:p>
      <w:pPr>
        <w:spacing w:after="30"/>
        <w:ind w:left="283"/>
      </w:pPr>
      <w:r>
        <w:t>• scheduler cycle/missing dependency/deadline handling;</w:t>
      </w:r>
    </w:p>
    <w:p>
      <w:pPr>
        <w:spacing w:after="30"/>
        <w:ind w:left="283"/>
      </w:pPr>
      <w:r>
        <w:t>• end-to-end authority preservation;</w:t>
      </w:r>
    </w:p>
    <w:p>
      <w:pPr>
        <w:spacing w:after="30"/>
        <w:ind w:left="283"/>
      </w:pPr>
      <w:r>
        <w:t>• all schema contracts;</w:t>
      </w:r>
    </w:p>
    <w:p>
      <w:pPr>
        <w:spacing w:after="30"/>
        <w:ind w:left="283"/>
      </w:pPr>
      <w:r>
        <w:t>• full TASK-004/TASK-005 regression and Product Boundary regression.</w:t>
      </w:r>
    </w:p>
    <w:p>
      <w:r>
        <w:br w:type="page"/>
      </w:r>
    </w:p>
    <w:p>
      <w:pPr>
        <w:pStyle w:val="Heading1"/>
      </w:pPr>
      <w:r>
        <w:t>23. Blocking Critic Findings Resolved</w:t>
      </w:r>
    </w:p>
    <w:p>
      <w:pPr>
        <w:spacing w:after="30"/>
        <w:ind w:left="170"/>
      </w:pPr>
      <w:r>
        <w:t>1. Runtime readiness formerly used a suffix-style check that could misread NOT_READY as ready. It now requires exact known readiness values.</w:t>
      </w:r>
    </w:p>
    <w:p>
      <w:pPr>
        <w:spacing w:after="30"/>
        <w:ind w:left="170"/>
      </w:pPr>
      <w:r>
        <w:t>2. Owner approval expiry validation accepted an invalid timestamp path. Invalid timestamps now fail validation.</w:t>
      </w:r>
    </w:p>
    <w:p>
      <w:pPr>
        <w:spacing w:after="30"/>
        <w:ind w:left="170"/>
      </w:pPr>
      <w:r>
        <w:t>3. Treating every IMPLEMENT_WRITE as Owner-gated would recreate over-governance. Already-authorized, reversible, scope-bound, no-external-side-effect implementation is now automatable; dangerous classes retain Owner gates.</w:t>
      </w:r>
    </w:p>
    <w:p>
      <w:pPr>
        <w:spacing w:after="30"/>
        <w:ind w:left="170"/>
      </w:pPr>
      <w:r>
        <w:t>4. A single-root Registry was insufficient for a reusable OS. Explicit multi-project Project Index support was added.</w:t>
      </w:r>
    </w:p>
    <w:p>
      <w:pPr>
        <w:spacing w:after="30"/>
        <w:ind w:left="170"/>
      </w:pPr>
      <w:r>
        <w:t>5. Prompt compression had an arbitrary minimum size that rejected legitimate small work. It now supports any positive budget.</w:t>
      </w:r>
    </w:p>
    <w:p>
      <w:pPr>
        <w:pStyle w:val="BodyText"/>
        <w:spacing w:after="80"/>
      </w:pPr>
      <w:r>
        <w:t>Blocking Critic findings at completion: 0.</w:t>
      </w:r>
    </w:p>
    <w:p>
      <w:r>
        <w:br w:type="page"/>
      </w:r>
    </w:p>
    <w:p>
      <w:pPr>
        <w:pStyle w:val="Heading1"/>
      </w:pPr>
      <w:r>
        <w:t>24. Accepted Residual / Deferred Scope</w:t>
      </w:r>
    </w:p>
    <w:p>
      <w:pPr>
        <w:spacing w:after="30"/>
        <w:ind w:left="283"/>
      </w:pPr>
      <w:r>
        <w:t>• Multi-file derived documentation sync is not one crash-atomic filesystem transaction; TASK-009/TASK-012 own journaling/recovery/repair hardening.</w:t>
      </w:r>
    </w:p>
    <w:p>
      <w:pPr>
        <w:spacing w:after="30"/>
        <w:ind w:left="283"/>
      </w:pPr>
      <w:r>
        <w:t>• Outbox acknowledgement is a local derived JSONL/idempotency ledger, not a distributed transaction coordinator.</w:t>
      </w:r>
    </w:p>
    <w:p>
      <w:pPr>
        <w:spacing w:after="30"/>
        <w:ind w:left="283"/>
      </w:pPr>
      <w:r>
        <w:t>• Monitoring dashboards/metrics remain TASK-007.</w:t>
      </w:r>
    </w:p>
    <w:p>
      <w:pPr>
        <w:spacing w:after="30"/>
        <w:ind w:left="283"/>
      </w:pPr>
      <w:r>
        <w:t>• External service/connector execution remains TASK-008.</w:t>
      </w:r>
    </w:p>
    <w:p>
      <w:pPr>
        <w:spacing w:after="30"/>
        <w:ind w:left="283"/>
      </w:pPr>
      <w:r>
        <w:t>• Supply-chain/security hardening remains TASK-009.</w:t>
      </w:r>
    </w:p>
    <w:p>
      <w:pPr>
        <w:spacing w:after="30"/>
        <w:ind w:left="283"/>
      </w:pPr>
      <w:r>
        <w:t>• Release/distribution compatibility remains TASK-010.</w:t>
      </w:r>
    </w:p>
    <w:p>
      <w:pPr>
        <w:spacing w:after="30"/>
        <w:ind w:left="283"/>
      </w:pPr>
      <w:r>
        <w:t>• Multi-consumer conformance lab remains TASK-011.</w:t>
      </w:r>
    </w:p>
    <w:p>
      <w:pPr>
        <w:spacing w:after="30"/>
        <w:ind w:left="283"/>
      </w:pPr>
      <w:r>
        <w:t>• Adaptive policy calibration remains TASK-014.</w:t>
      </w:r>
    </w:p>
    <w:p>
      <w:r>
        <w:br w:type="page"/>
      </w:r>
    </w:p>
    <w:p>
      <w:pPr>
        <w:pStyle w:val="Heading1"/>
      </w:pPr>
      <w:r>
        <w:t>25. Acceptance Criteria</w:t>
      </w:r>
    </w:p>
    <w:p>
      <w:pPr>
        <w:spacing w:after="30"/>
        <w:ind w:left="170"/>
      </w:pPr>
      <w:r>
        <w:t>1. Workspace Registry/Project Index are deterministic, verifiable and non-authoritative.</w:t>
      </w:r>
    </w:p>
    <w:p>
      <w:pPr>
        <w:spacing w:after="30"/>
        <w:ind w:left="170"/>
      </w:pPr>
      <w:r>
        <w:t>2. Runtime/project/root facts require current probe evidence and root confinement.</w:t>
      </w:r>
    </w:p>
    <w:p>
      <w:pPr>
        <w:spacing w:after="30"/>
        <w:ind w:left="170"/>
      </w:pPr>
      <w:r>
        <w:t>3. Startup Package binds Task/Phase/Role/Runtime/Risk/Knowledge/Context/Auth/Evidence.</w:t>
      </w:r>
    </w:p>
    <w:p>
      <w:pPr>
        <w:spacing w:after="30"/>
        <w:ind w:left="170"/>
      </w:pPr>
      <w:r>
        <w:t>4. Knowledge integration cannot bypass TASK-005 Governance or TASK-004 Context Manifest.</w:t>
      </w:r>
    </w:p>
    <w:p>
      <w:pPr>
        <w:spacing w:after="30"/>
        <w:ind w:left="170"/>
      </w:pPr>
      <w:r>
        <w:t>5. Instruction Compiler cannot manufacture authorization.</w:t>
      </w:r>
    </w:p>
    <w:p>
      <w:pPr>
        <w:spacing w:after="30"/>
        <w:ind w:left="170"/>
      </w:pPr>
      <w:r>
        <w:t>6. Owner Proposal cannot self-grant authorization.</w:t>
      </w:r>
    </w:p>
    <w:p>
      <w:pPr>
        <w:spacing w:after="30"/>
        <w:ind w:left="170"/>
      </w:pPr>
      <w:r>
        <w:t>7. Retry and restart behavior are bounded and evidence-based.</w:t>
      </w:r>
    </w:p>
    <w:p>
      <w:pPr>
        <w:spacing w:after="30"/>
        <w:ind w:left="170"/>
      </w:pPr>
      <w:r>
        <w:t>8. Canonical document conflicts fail closed.</w:t>
      </w:r>
    </w:p>
    <w:p>
      <w:pPr>
        <w:spacing w:after="30"/>
        <w:ind w:left="170"/>
      </w:pPr>
      <w:r>
        <w:t>9. Documentation sync requires authorization and cannot use this API to overwrite authority-bearing canonical state.</w:t>
      </w:r>
    </w:p>
    <w:p>
      <w:pPr>
        <w:spacing w:after="30"/>
        <w:ind w:left="170"/>
      </w:pPr>
      <w:r>
        <w:t>10. Production destructive mutation/fault injection is refused.</w:t>
      </w:r>
    </w:p>
    <w:p>
      <w:pPr>
        <w:spacing w:after="30"/>
        <w:ind w:left="170"/>
      </w:pPr>
      <w:r>
        <w:t>11. Already-authorized safe implementation is not redundantly Owner-gated.</w:t>
      </w:r>
    </w:p>
    <w:p>
      <w:pPr>
        <w:spacing w:after="30"/>
        <w:ind w:left="170"/>
      </w:pPr>
      <w:r>
        <w:t>12. Dangerous/unknown actions require Owner approval or Safe Stop.</w:t>
      </w:r>
    </w:p>
    <w:p>
      <w:pPr>
        <w:spacing w:after="30"/>
        <w:ind w:left="170"/>
      </w:pPr>
      <w:r>
        <w:t>13. Verified Completion Outbox consumption is idempotent and cannot roll back canonical completion.</w:t>
      </w:r>
    </w:p>
    <w:p>
      <w:pPr>
        <w:spacing w:after="30"/>
        <w:ind w:left="170"/>
      </w:pPr>
      <w:r>
        <w:t>14. TASK-004 Lifecycle canonical state is never directly owned by TASK-006.</w:t>
      </w:r>
    </w:p>
    <w:p>
      <w:pPr>
        <w:spacing w:after="30"/>
        <w:ind w:left="170"/>
      </w:pPr>
      <w:r>
        <w:t>15. TASK-005 Knowledge content authority is never owned by Registry/Automation.</w:t>
      </w:r>
    </w:p>
    <w:p>
      <w:pPr>
        <w:spacing w:after="30"/>
        <w:ind w:left="170"/>
      </w:pPr>
      <w:r>
        <w:t>16. All machine schemas validate as Draft 2020-12.</w:t>
      </w:r>
    </w:p>
    <w:p>
      <w:pPr>
        <w:spacing w:after="30"/>
        <w:ind w:left="170"/>
      </w:pPr>
      <w:r>
        <w:t>17. TASK-006 dedicated tests, full OS regression, Product Boundary and Consumer regression pass.</w:t>
      </w:r>
    </w:p>
    <w:p>
      <w:pPr>
        <w:spacing w:after="30"/>
        <w:ind w:left="170"/>
      </w:pPr>
      <w:r>
        <w:t>18. Canonical MD/DOCX/Summary/Registry/Current State are synchronized.</w:t>
      </w:r>
    </w:p>
    <w:p>
      <w:r>
        <w:br w:type="page"/>
      </w:r>
    </w:p>
    <w:p>
      <w:pPr>
        <w:pStyle w:val="Heading1"/>
      </w:pPr>
      <w:r>
        <w:t>26. Completion Record</w:t>
      </w:r>
    </w:p>
    <w:p>
      <w:pPr>
        <w:pStyle w:val="BodyText"/>
        <w:spacing w:after="80"/>
      </w:pPr>
      <w:r>
        <w:t>TASK-006 implementation is completed on 2026-08-08 under DEV_4_FOUNDATION_CRITICAL. All fifteen internal phases have executable runtime surfaces. The final dedicated automation suite passes 116 / 116; the complete BAI Development OS suite passes 425 / 425; Product Boundary and root AutomationOS export pass. Final Consumer and document/Registry QA evidence is recorded in TASK-006 completion artifacts.</w:t>
      </w:r>
    </w:p>
    <w:p>
      <w:pPr>
        <w:pStyle w:val="BodyText"/>
        <w:spacing w:after="80"/>
      </w:pPr>
      <w:r>
        <w:t>TASK-006 completion does not automatically start TASK-007. The next canonical route becomes TASK-007 — Monitoring &amp; Dashboard, subject to its own implementation instruction/authority.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CURRENT_CANONICAL / 2026-08-08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BAI Development OS — TASK-006 Orchestration &amp; Automation Foundation Ver.1.0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