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Ver.2.21 — TASK-012 Self-Maintenance, Drift Detection &amp; Safe Auto-Repair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"2.21"</w:t>
        <w:br/>
        <w:t xml:space="preserve">  status: CURRENT_CANONICAL</w:t>
        <w:br/>
        <w:t xml:space="preserve">  authority: machine_canonical_authority</w:t>
        <w:br/>
        <w:t xml:space="preserve">  human_companion: /home/baisound/bai-development-os/architecture/BAI_Development_OS_Architecture_Ver2.21.docx</w:t>
        <w:br/>
        <w:t xml:space="preserve">  machine_path: /home/baisound/bai-development-os/architecture/BAI_Development_OS_Architecture_Ver2.21.md</w:t>
        <w:br/>
        <w:t xml:space="preserve">  summary_path: /home/baisound/bai-development-os/architecture/BAI_Development_OS_Architecture_Ver2.21.summary.md</w:t>
        <w:br/>
        <w:t xml:space="preserve">  historical_baseline: BAI Development OS Architecture Ver.2.20</w:t>
        <w:br/>
        <w:t xml:space="preserve">  baseline_commit: d89b99d</w:t>
        <w:br/>
        <w:t xml:space="preserve">  coverage_evidence: tasks/TASK-012/task012-final-completion-record.md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Ver.2.21. The adjacent Markdown is the machine canonical authority. Ver.2.21 preserves the 48 / 48 lossless Part XV roadmap and records TASK-012 MaintenanceOS completion in Part XXII.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through TASK-012 are completed; TASK-013 through TASK-015 remain future consolidated scopes. Ver.2.21 preserves 48 / 48 accumulated roadmap source sections. Historical addenda remain provenance only.</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t>COMPLETED</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t>NEXT / NOT_STARTED / NOT_AUTHORIZED</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COMPLETED</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NEXT / NOT_STARTED / NOT_AUTHORIZED</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t>COMPLETED</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t>NEXT / NOT_STARTED / NOT_AUTHORIZED</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COMPLETED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COMPLETED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3"/>
      </w:pPr>
      <w:r>
        <w:t>142.8 Conformance evidence maintenance, certification drift and repair additions (TASK-011-derived)</w:t>
      </w:r>
    </w:p>
    <w:p>
      <w:pPr>
        <w:pStyle w:val="FirstParagraph"/>
      </w:pPr>
      <w:r>
        <w:t>Historical source: BAI_Development_OS_Post_TASK011_Roadmap_Refinement_Ver1.0.md — TASK-012</w:t>
      </w:r>
    </w:p>
    <w:p>
      <w:pPr/>
      <w:r>
        <w:t>Add the following ConformanceOS self-maintenance scope:</w:t>
      </w:r>
    </w:p>
    <w:p>
      <w:pPr/>
      <w:r>
        <w:t>conformance fsck across Fixture, Matrix, Consumer execution evidence, Isolation/Fairness/Provider/Upgrade/Portability reports, Certification records and baseline checksums.</w:t>
      </w:r>
    </w:p>
    <w:p>
      <w:pPr/>
      <w:r>
        <w:t>Evidence freshness and environment-drift detection so an old REAL result cannot silently prove a materially changed runtime, filesystem, provider or Consumer revision.</w:t>
      </w:r>
    </w:p>
    <w:p>
      <w:pPr/>
      <w:r>
        <w:t>Detection/quarantine of orphan fixtures, missing Consumer roots, stale capability declarations, broken evidence references, duplicate run identities, truncated result sets and checksum-mismatched Certifications.</w:t>
      </w:r>
    </w:p>
    <w:p>
      <w:pPr/>
      <w:r>
        <w:t>Recovery classification for interrupted Consumer runs and partially written Certification artifacts; ambiguous execution results remain unproven rather than being guessed PASS.</w:t>
      </w:r>
    </w:p>
    <w:p>
      <w:pPr/>
      <w:r>
        <w:t>Deterministic Certification rebuild from immutable verified run evidence without upgrading DECLARED/SIMULATED evidence into REAL/SANDBOX.</w:t>
      </w:r>
    </w:p>
    <w:p>
      <w:pPr/>
      <w:r>
        <w:t>Baseline-diff reports that distinguish product regression, environment drift, provider drift and expected declared-scope change.</w:t>
      </w:r>
    </w:p>
    <w:p>
      <w:pPr/>
      <w:r>
        <w:t>Safe cleanup/retention for expired derived matrices, temporary sandbox workspaces and superseded Certification caches while retaining required audit evidence.</w:t>
      </w:r>
    </w:p>
    <w:p>
      <w:pPr/>
      <w:r>
        <w:t>Re-execution proposals for stale or incomplete platform/provider evidence; automatic execution remains bounded by Runner trust/sandbox policy and authorization.</w:t>
      </w:r>
    </w:p>
    <w:p>
      <w:pPr/>
      <w:r>
        <w:t>Quarantine and Owner escalation when a previously certified project loses required evidence or its current environment can no longer be proven equivalent.</w:t>
      </w:r>
    </w:p>
    <w:p>
      <w:pPr/>
      <w:r>
        <w:t>Acceptance direction: Conformance evidence remains trustworthy over time; maintenance may rebuild derived certification but never fabricate execution proof or silently preserve a stale PASS.</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NEXT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3"/>
      </w:pPr>
      <w:r>
        <w:t>143.8 Conformance Provider / Runner / Fixture SDK additions (TASK-011-derived)</w:t>
      </w:r>
    </w:p>
    <w:p>
      <w:pPr>
        <w:pStyle w:val="FirstParagraph"/>
      </w:pPr>
      <w:r>
        <w:t>Historical source: BAI_Development_OS_Post_TASK011_Roadmap_Refinement_Ver1.0.md — TASK-013</w:t>
      </w:r>
    </w:p>
    <w:p>
      <w:pPr/>
      <w:r>
        <w:t>Preserve TASK-013's original Domain Adapter / Plugin SDK mission and add ConformanceOS extension points:</w:t>
      </w:r>
    </w:p>
    <w:p>
      <w:pPr/>
      <w:r>
        <w:t>Platform Probe Provider SDK for OS, architecture, runtime, filesystem and capability discovery.</w:t>
      </w:r>
    </w:p>
    <w:p>
      <w:pPr/>
      <w:r>
        <w:t>Consumer Runner Provider SDK for bounded NODE_TEST, NODE_SCRIPT, NPM_SCRIPT and future domain-specific contract modes without exposing an arbitrary shell.</w:t>
      </w:r>
    </w:p>
    <w:p>
      <w:pPr/>
      <w:r>
        <w:t>Sandbox Provider SDK for local process isolation, container isolation and OS-native sandbox implementations.</w:t>
      </w:r>
    </w:p>
    <w:p>
      <w:pPr/>
      <w:r>
        <w:t>Fixture Provider / Generator SDK for project-local, official and community Consumer fixtures with explicit trust classification.</w:t>
      </w:r>
    </w:p>
    <w:p>
      <w:pPr/>
      <w:r>
        <w:t>Provider Conformance Adapter SDK for real API/service/backend capability and failure-semantic verification.</w:t>
      </w:r>
    </w:p>
    <w:p>
      <w:pPr/>
      <w:r>
        <w:t>Filesystem/Runtime Probe adapters for case sensitivity, symlink behavior, atomic rename, permissions and platform-specific constraints.</w:t>
      </w:r>
    </w:p>
    <w:p>
      <w:pPr/>
      <w:r>
        <w:t>Evidence Export/Import Provider for signed machine-readable Conformance results without treating imported evidence as REAL unless execution provenance verifies.</w:t>
      </w:r>
    </w:p>
    <w:p>
      <w:pPr/>
      <w:r>
        <w:t>Windows and macOS native Runner/Probe providers so currently simulated targets can gain REAL evidence without core ConformanceOS edits.</w:t>
      </w:r>
    </w:p>
    <w:p>
      <w:pPr/>
      <w:r>
        <w:t>Cloud/lab execution adapters may provision or invoke external environments only through TASK-008 IntegrationOS with explicit external-side-effect authorization.</w:t>
      </w:r>
    </w:p>
    <w:p>
      <w:pPr/>
      <w:r>
        <w:t>Every provider declares capability manifest, supported evidence level, trust/sandbox requirement, version compatibility, resource budget and failure contract.</w:t>
      </w:r>
    </w:p>
    <w:p>
      <w:pPr/>
      <w:r>
        <w:t>Add provider conformance kits proving root confinement, command-mode restrictions, evidence classification and failure isolation.</w:t>
      </w:r>
    </w:p>
    <w:p>
      <w:pPr/>
      <w:r>
        <w:t>Acceptance direction: new platforms, runtimes, sandboxes and provider labs are added through bounded adapters and evidence contracts, not through special cases in ConformanceOS core.</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3"/>
      </w:pPr>
      <w:r>
        <w:t>144.8 Adaptive Conformance coverage and certification calibration additions (TASK-011-derived)</w:t>
      </w:r>
    </w:p>
    <w:p>
      <w:pPr>
        <w:pStyle w:val="FirstParagraph"/>
      </w:pPr>
      <w:r>
        <w:t>Historical source: BAI_Development_OS_Post_TASK011_Roadmap_Refinement_Ver1.0.md — TASK-014</w:t>
      </w:r>
    </w:p>
    <w:p>
      <w:pPr/>
      <w:r>
        <w:t>Add evidence-driven ConformanceOS calibration:</w:t>
      </w:r>
    </w:p>
    <w:p>
      <w:pPr/>
      <w:r>
        <w:t>Measure flaky Consumer/Provider/Portability probes and distinguish infrastructure instability from product regression.</w:t>
      </w:r>
    </w:p>
    <w:p>
      <w:pPr/>
      <w:r>
        <w:t>Calibrate evidence-freshness windows by risk, environment volatility and Consumer criticality while preserving explicit stale-evidence disclosure.</w:t>
      </w:r>
    </w:p>
    <w:p>
      <w:pPr/>
      <w:r>
        <w:t>Calibrate weighted fairness and noisy-neighbor thresholds from observed shared-resource behavior.</w:t>
      </w:r>
    </w:p>
    <w:p>
      <w:pPr/>
      <w:r>
        <w:t>Measure false PASS, false FAIL and excessive CONDITIONAL outcomes against later verified evidence.</w:t>
      </w:r>
    </w:p>
    <w:p>
      <w:pPr/>
      <w:r>
        <w:t>Recommend which OS/architecture/filesystem/provider combinations deserve REAL execution next, using risk, usage, change history, cost and coverage gaps.</w:t>
      </w:r>
    </w:p>
    <w:p>
      <w:pPr/>
      <w:r>
        <w:t>Calibrate adversarial fixture selection and Certification depth so DEV-0〜4 profiles receive proportional evidence without weakening CORE/FOUNDATION floors.</w:t>
      </w:r>
    </w:p>
    <w:p>
      <w:pPr/>
      <w:r>
        <w:t>Evaluate C0〜C5 Certification usefulness and threshold friction; changes remain recommendation-driven and versioned.</w:t>
      </w:r>
    </w:p>
    <w:p>
      <w:pPr/>
      <w:r>
        <w:t>Detect blind spots where many simulated/declarative results create misleading apparent coverage.</w:t>
      </w:r>
    </w:p>
    <w:p>
      <w:pPr/>
      <w:r>
        <w:t>Use counterfactual replay to compare alternate coverage matrices, fairness thresholds and probe policies before adopting them.</w:t>
      </w:r>
    </w:p>
    <w:p>
      <w:pPr/>
      <w:r>
        <w:t>Mandatory evidence floors MUST NOT be auto-weakened: DECLARED/SIMULATED can never be learned into REAL; C2+ still requires successful REAL/SANDBOX execution; root confinement, trusted/sandboxed execution and authority boundaries remain fixed safety constraints.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3"/>
      </w:pPr>
      <w:r>
        <w:t>145.8 Distributed and remote Conformance execution additions (TASK-011-derived)</w:t>
      </w:r>
    </w:p>
    <w:p>
      <w:pPr>
        <w:pStyle w:val="FirstParagraph"/>
      </w:pPr>
      <w:r>
        <w:t>Historical source: BAI_Development_OS_Post_TASK011_Roadmap_Refinement_Ver1.0.md — TASK-015</w:t>
      </w:r>
    </w:p>
    <w:p>
      <w:pPr/>
      <w:r>
        <w:t>Extend the optional Distributed Orchestration &amp; Event Fabric with ConformanceOS execution:</w:t>
      </w:r>
    </w:p>
    <w:p>
      <w:pPr/>
      <w:r>
        <w:t>Remote Conformance Worker identity, capability advertisement and attestation for OS, architecture, runtime, filesystem, sandbox and provider access.</w:t>
      </w:r>
    </w:p>
    <w:p>
      <w:pPr/>
      <w:r>
        <w:t>Capability-aware scheduling that sends a fixture only to workers satisfying its declared execution requirements.</w:t>
      </w:r>
    </w:p>
    <w:p>
      <w:pPr/>
      <w:r>
        <w:t>Signed run request/result envelopes with project, fixture revision, worker identity, environment fingerprint, correlation id, checksum and evidence classification.</w:t>
      </w:r>
    </w:p>
    <w:p>
      <w:pPr/>
      <w:r>
        <w:t>Worker lease/heartbeat/fencing so a stale worker cannot publish authoritative late results after ownership transfer or cancellation.</w:t>
      </w:r>
    </w:p>
    <w:p>
      <w:pPr/>
      <w:r>
        <w:t>At-least-once run dispatch with idempotent run identity and duplicate-result suppression.</w:t>
      </w:r>
    </w:p>
    <w:p>
      <w:pPr/>
      <w:r>
        <w:t>Late-result quarantine when fixture revision, policy, trust, key version or required environment changed while the run was executing.</w:t>
      </w:r>
    </w:p>
    <w:p>
      <w:pPr/>
      <w:r>
        <w:t>Secure artifact/evidence transfer with checksum/signature verification and explicit size/cost limits.</w:t>
      </w:r>
    </w:p>
    <w:p>
      <w:pPr/>
      <w:r>
        <w:t>Cross-machine fairness and quota coordination for expensive Consumer, provider and portability test matrices.</w:t>
      </w:r>
    </w:p>
    <w:p>
      <w:pPr/>
      <w:r>
        <w:t>Remote Windows/macOS/Linux workers can contribute REAL evidence only after worker attestation and Runner/Sandbox contracts verify; remote location alone does not upgrade evidence class.</w:t>
      </w:r>
    </w:p>
    <w:p>
      <w:pPr/>
      <w:r>
        <w:t>Partition, worker crash, duplicate dispatch, clock skew, stale capability advertisement, compromised worker, lost result and replay-storm fault matrices.</w:t>
      </w:r>
    </w:p>
    <w:p>
      <w:pPr/>
      <w:r>
        <w:t>External cloud/lab provisioning remains a TASK-008 governed external side effect; TASK-015 coordinates already-authorized distributed execution rather than granting access itself.</w:t>
      </w:r>
    </w:p>
    <w:p>
      <w:pPr/>
      <w:r>
        <w:t>Acceptance direction: distributed labs can accumulate real heterogeneous platform/provider evidence while retaining the same trust/evidence rules as local TASK-011; single-machine Conformance remains first-class.</w:t>
      </w:r>
    </w:p>
    <w:p>
      <w:pPr>
        <w:pStyle w:val="Heading2"/>
      </w:pPr>
      <w:r>
        <w:t>146. Consolidated roadmap order and dependency intent</w:t>
      </w:r>
    </w:p>
    <w:p>
      <w:pPr/>
      <w:r>
        <w:t>1. TASK-009 — Security, Supply Chain &amp; Integrity Hardening — COMPLETED</w:t>
      </w:r>
    </w:p>
    <w:p>
      <w:pPr/>
      <w:r>
        <w:t>2. TASK-010 — Release, Distribution &amp; Consumer Upgrade OS — COMPLETED</w:t>
      </w:r>
    </w:p>
    <w:p>
      <w:pPr/>
      <w:r>
        <w:t>3. TASK-011 — Multi-Project Conformance &amp; Compatibility Lab — COMPLETED</w:t>
      </w:r>
    </w:p>
    <w:p>
      <w:pPr/>
      <w:r>
        <w:t>4. TASK-012 — Self-Maintenance, Drift Detection &amp; Safe Auto-Repair — COMPLETED</w:t>
      </w:r>
    </w:p>
    <w:p>
      <w:pPr/>
      <w:r>
        <w:t>5. TASK-013 — Domain Adapter / Plugin SDK — NEXT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p>
      <w:r>
        <w:br w:type="page"/>
      </w:r>
    </w:p>
    <w:p>
      <w:pPr>
        <w:pStyle w:val="Heading1"/>
      </w:pPr>
      <w:r>
        <w:t>Part XX — TASK-011 Multi-Project Conformance &amp; Compatibility Lab Completion</w:t>
      </w:r>
    </w:p>
    <w:p>
      <w:pPr>
        <w:pStyle w:val="Heading2"/>
      </w:pPr>
      <w:r>
        <w:t>172. Current authority after TASK-011</w:t>
      </w:r>
    </w:p>
    <w:p>
      <w:pPr>
        <w:pStyle w:val="ListBullet"/>
      </w:pPr>
      <w:r>
        <w:t>Architecture Ver.2.19 is CURRENT_CANONICAL.</w:t>
      </w:r>
    </w:p>
    <w:p>
      <w:pPr>
        <w:pStyle w:val="ListBullet"/>
      </w:pPr>
      <w:r>
        <w:t>TASK-011 is COMPLETED.</w:t>
      </w:r>
    </w:p>
    <w:p>
      <w:pPr>
        <w:pStyle w:val="ListBullet"/>
      </w:pPr>
      <w:r>
        <w:t>TASK-011 Detailed Design Ver.1.0 is subsystem canonical.</w:t>
      </w:r>
    </w:p>
    <w:p>
      <w:pPr>
        <w:pStyle w:val="ListBullet"/>
      </w:pPr>
      <w:r>
        <w:t>TASK-012 is NEXT / NOT_STARTED / NOT_AUTHORIZED.</w:t>
      </w:r>
    </w:p>
    <w:p>
      <w:pPr>
        <w:pStyle w:val="ListBullet"/>
      </w:pPr>
      <w:r>
        <w:t>TASK-013〜015 remain PROPOSED / NOT_STARTED / NOT_AUTHORIZED.</w:t>
      </w:r>
    </w:p>
    <w:p>
      <w:pPr>
        <w:pStyle w:val="Heading2"/>
      </w:pPr>
      <w:r>
        <w:t>173. ConformanceOS architecture</w:t>
      </w:r>
    </w:p>
    <w:p>
      <w:r>
        <w:t>ConformanceOS is the executable compatibility/certification layer composed of Fixture, Matrix, Consumer Runner, Isolation, Fairness, Provider, Upgrade, Portability, Certification, Lab and Service modules. It verifies Consumer behavior without taking Lifecycle, Security, Release, Knowledge or external-side-effect authority.</w:t>
      </w:r>
    </w:p>
    <w:p>
      <w:pPr>
        <w:pStyle w:val="Heading2"/>
      </w:pPr>
      <w:r>
        <w:t>174. Fixture and evidence model</w:t>
      </w:r>
    </w:p>
    <w:p>
      <w:pPr>
        <w:pStyle w:val="ListBullet"/>
      </w:pPr>
      <w:r>
        <w:t>Evidence is REAL, SANDBOX, SIMULATED or DECLARED.</w:t>
      </w:r>
    </w:p>
    <w:p>
      <w:pPr>
        <w:pStyle w:val="ListBullet"/>
      </w:pPr>
      <w:r>
        <w:t>Results are PASS, CONDITIONAL, FAIL or NOT_APPLICABLE.</w:t>
      </w:r>
    </w:p>
    <w:p>
      <w:pPr>
        <w:pStyle w:val="ListBullet"/>
      </w:pPr>
      <w:r>
        <w:t>A REAL declaration alone is not execution proof; C2+ requires successful REAL/SANDBOX Consumer execution.</w:t>
      </w:r>
    </w:p>
    <w:p>
      <w:pPr>
        <w:pStyle w:val="ListBullet"/>
      </w:pPr>
      <w:r>
        <w:t>SIMULATED/DECLARED targets cannot silently become verified portability.</w:t>
      </w:r>
    </w:p>
    <w:p>
      <w:pPr>
        <w:pStyle w:val="Heading2"/>
      </w:pPr>
      <w:r>
        <w:t>175. Multi-project isolation and fairness</w:t>
      </w:r>
    </w:p>
    <w:p>
      <w:r>
        <w:t>Isolation covers Knowledge, Authority, Startup, Outbox, Monitoring, Credential, Idempotency, Webhook, Vault, Signer, Trust, Security Policy and Release State. Ownership probes detect cross-project attribution. Weighted fairness/noisy-neighbor probes test shared-capacity policy without replacing TASK-004 Cost authority.</w:t>
      </w:r>
    </w:p>
    <w:p>
      <w:pPr>
        <w:pStyle w:val="Heading2"/>
      </w:pPr>
      <w:r>
        <w:t>176. Provider, release and platform compatibility</w:t>
      </w:r>
    </w:p>
    <w:p>
      <w:pPr>
        <w:pStyle w:val="ListBullet"/>
      </w:pPr>
      <w:r>
        <w:t>Provider conformance verifies capability equivalence and failure semantics.</w:t>
      </w:r>
    </w:p>
    <w:p>
      <w:pPr>
        <w:pStyle w:val="ListBullet"/>
      </w:pPr>
      <w:r>
        <w:t>Release conformance verifies direction, migration presence and Security Profile non-weakening.</w:t>
      </w:r>
    </w:p>
    <w:p>
      <w:pPr>
        <w:pStyle w:val="ListBullet"/>
      </w:pPr>
      <w:r>
        <w:t>Portability is evaluated target by target across OS/architecture/filesystem evidence.</w:t>
      </w:r>
    </w:p>
    <w:p>
      <w:pPr>
        <w:pStyle w:val="Heading2"/>
      </w:pPr>
      <w:r>
        <w:t>177. Certification levels</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C0_UNVERIFIED</w:t>
            </w:r>
          </w:p>
        </w:tc>
        <w:tc>
          <w:tcPr>
            <w:tcW w:type="dxa" w:w="5040"/>
          </w:tcPr>
          <w:p>
            <w:r>
              <w:t>No verified contract evidence</w:t>
            </w:r>
          </w:p>
        </w:tc>
      </w:tr>
      <w:tr>
        <w:tc>
          <w:tcPr>
            <w:tcW w:type="dxa" w:w="5040"/>
          </w:tcPr>
          <w:p>
            <w:r>
              <w:t>C1_CONTRACT</w:t>
            </w:r>
          </w:p>
        </w:tc>
        <w:tc>
          <w:tcPr>
            <w:tcW w:type="dxa" w:w="5040"/>
          </w:tcPr>
          <w:p>
            <w:r>
              <w:t>Contract/schema only</w:t>
            </w:r>
          </w:p>
        </w:tc>
      </w:tr>
      <w:tr>
        <w:tc>
          <w:tcPr>
            <w:tcW w:type="dxa" w:w="5040"/>
          </w:tcPr>
          <w:p>
            <w:r>
              <w:t>C2_SINGLE_PROJECT</w:t>
            </w:r>
          </w:p>
        </w:tc>
        <w:tc>
          <w:tcPr>
            <w:tcW w:type="dxa" w:w="5040"/>
          </w:tcPr>
          <w:p>
            <w:r>
              <w:t>One REAL/SANDBOX executed Consumer</w:t>
            </w:r>
          </w:p>
        </w:tc>
      </w:tr>
      <w:tr>
        <w:tc>
          <w:tcPr>
            <w:tcW w:type="dxa" w:w="5040"/>
          </w:tcPr>
          <w:p>
            <w:r>
              <w:t>C3_MULTI_PROJECT</w:t>
            </w:r>
          </w:p>
        </w:tc>
        <w:tc>
          <w:tcPr>
            <w:tcW w:type="dxa" w:w="5040"/>
          </w:tcPr>
          <w:p>
            <w:r>
              <w:t>Multiple verified Consumers plus isolation</w:t>
            </w:r>
          </w:p>
        </w:tc>
      </w:tr>
      <w:tr>
        <w:tc>
          <w:tcPr>
            <w:tcW w:type="dxa" w:w="5040"/>
          </w:tcPr>
          <w:p>
            <w:r>
              <w:t>C4_PORTABLE</w:t>
            </w:r>
          </w:p>
        </w:tc>
        <w:tc>
          <w:tcPr>
            <w:tcW w:type="dxa" w:w="5040"/>
          </w:tcPr>
          <w:p>
            <w:r>
              <w:t>C3 plus verified portability targets</w:t>
            </w:r>
          </w:p>
        </w:tc>
      </w:tr>
      <w:tr>
        <w:tc>
          <w:tcPr>
            <w:tcW w:type="dxa" w:w="5040"/>
          </w:tcPr>
          <w:p>
            <w:r>
              <w:t>C5_ADVERSARIAL</w:t>
            </w:r>
          </w:p>
        </w:tc>
        <w:tc>
          <w:tcPr>
            <w:tcW w:type="dxa" w:w="5040"/>
          </w:tcPr>
          <w:p>
            <w:r>
              <w:t>C4 plus adversarial/failure evidence</w:t>
            </w:r>
          </w:p>
        </w:tc>
      </w:tr>
    </w:tbl>
    <w:p>
      <w:pPr>
        <w:pStyle w:val="Heading2"/>
      </w:pPr>
      <w:r>
        <w:t>178. Verified baseline and portability limitation</w:t>
      </w:r>
    </w:p>
    <w:p>
      <w:pPr>
        <w:pStyle w:val="ListBullet"/>
      </w:pPr>
      <w:r>
        <w:t>javascript-roulette: REAL Consumer contract execution PASS.</w:t>
      </w:r>
    </w:p>
    <w:p>
      <w:pPr>
        <w:pStyle w:val="ListBullet"/>
      </w:pPr>
      <w:r>
        <w:t>core-node: REAL Core-critical synthetic Consumer execution PASS.</w:t>
      </w:r>
    </w:p>
    <w:p>
      <w:pPr>
        <w:pStyle w:val="ListBullet"/>
      </w:pPr>
      <w:r>
        <w:t>Local certification: PASS / C3_MULTI_PROJECT.</w:t>
      </w:r>
    </w:p>
    <w:p>
      <w:pPr>
        <w:pStyle w:val="ListBullet"/>
      </w:pPr>
      <w:r>
        <w:t>Linux/current: REAL / PASS.</w:t>
      </w:r>
    </w:p>
    <w:p>
      <w:pPr>
        <w:pStyle w:val="ListBullet"/>
      </w:pPr>
      <w:r>
        <w:t>Windows x64: SIMULATED / CONDITIONAL.</w:t>
      </w:r>
    </w:p>
    <w:p>
      <w:pPr>
        <w:pStyle w:val="ListBullet"/>
      </w:pPr>
      <w:r>
        <w:t>macOS arm64: SIMULATED / CONDITIONAL.</w:t>
      </w:r>
    </w:p>
    <w:p>
      <w:pPr>
        <w:pStyle w:val="ListBullet"/>
      </w:pPr>
      <w:r>
        <w:t>makeTikTokGiftMaster: DECLARED reference only; no execution proof.</w:t>
      </w:r>
    </w:p>
    <w:p>
      <w:pPr>
        <w:pStyle w:val="Heading2"/>
      </w:pPr>
      <w:r>
        <w:t>179. Critic findings resolved</w:t>
      </w:r>
    </w:p>
    <w:p>
      <w:pPr>
        <w:pStyle w:val="ListBullet"/>
      </w:pPr>
      <w:r>
        <w:t>REAL declaration no longer substitutes for executable evidence.</w:t>
      </w:r>
    </w:p>
    <w:p>
      <w:pPr>
        <w:pStyle w:val="ListBullet"/>
      </w:pPr>
      <w:r>
        <w:t>Consumer Runner is limited to fixed modes and trusted/sandboxed fixtures.</w:t>
      </w:r>
    </w:p>
    <w:p>
      <w:pPr>
        <w:pStyle w:val="ListBullet"/>
      </w:pPr>
      <w:r>
        <w:t>Node contract targets are realpath-confined to Consumer root.</w:t>
      </w:r>
    </w:p>
    <w:p>
      <w:pPr>
        <w:pStyle w:val="ListBullet"/>
      </w:pPr>
      <w:r>
        <w:t>Simulated platform evidence remains CONDITIONAL.</w:t>
      </w:r>
    </w:p>
    <w:p>
      <w:pPr>
        <w:pStyle w:val="ListBullet"/>
      </w:pPr>
      <w:r>
        <w:t>Declared-only fixtures cannot manufacture high certification levels.</w:t>
      </w:r>
    </w:p>
    <w:p>
      <w:r>
        <w:t>Blocking Critic findings: 0.</w:t>
      </w:r>
    </w:p>
    <w:p>
      <w:pPr>
        <w:pStyle w:val="Heading2"/>
      </w:pPr>
      <w:r>
        <w:t>180. Verification baseline</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TASK-011</w:t>
            </w:r>
          </w:p>
        </w:tc>
        <w:tc>
          <w:tcPr>
            <w:tcW w:type="dxa" w:w="5040"/>
          </w:tcPr>
          <w:p>
            <w:r>
              <w:t>101 / 101 PASS</w:t>
            </w:r>
          </w:p>
        </w:tc>
      </w:tr>
      <w:tr>
        <w:tc>
          <w:tcPr>
            <w:tcW w:type="dxa" w:w="5040"/>
          </w:tcPr>
          <w:p>
            <w:r>
              <w:t>Full OS</w:t>
            </w:r>
          </w:p>
        </w:tc>
        <w:tc>
          <w:tcPr>
            <w:tcW w:type="dxa" w:w="5040"/>
          </w:tcPr>
          <w:p>
            <w:r>
              <w:t>821 / 821 PASS</w:t>
            </w:r>
          </w:p>
        </w:tc>
      </w:tr>
      <w:tr>
        <w:tc>
          <w:tcPr>
            <w:tcW w:type="dxa" w:w="5040"/>
          </w:tcPr>
          <w:p>
            <w:r>
              <w:t>Consumer</w:t>
            </w:r>
          </w:p>
        </w:tc>
        <w:tc>
          <w:tcPr>
            <w:tcW w:type="dxa" w:w="5040"/>
          </w:tcPr>
          <w:p>
            <w:r>
              <w:t>10 / 10 PASS</w:t>
            </w:r>
          </w:p>
        </w:tc>
      </w:tr>
      <w:tr>
        <w:tc>
          <w:tcPr>
            <w:tcW w:type="dxa" w:w="5040"/>
          </w:tcPr>
          <w:p>
            <w:r>
              <w:t>Local Certification</w:t>
            </w:r>
          </w:p>
        </w:tc>
        <w:tc>
          <w:tcPr>
            <w:tcW w:type="dxa" w:w="5040"/>
          </w:tcPr>
          <w:p>
            <w:r>
              <w:t>PASS / C3_MULTI_PROJECT</w:t>
            </w:r>
          </w:p>
        </w:tc>
      </w:tr>
      <w:tr>
        <w:tc>
          <w:tcPr>
            <w:tcW w:type="dxa" w:w="5040"/>
          </w:tcPr>
          <w:p>
            <w:r>
              <w:t>Portability</w:t>
            </w:r>
          </w:p>
        </w:tc>
        <w:tc>
          <w:tcPr>
            <w:tcW w:type="dxa" w:w="5040"/>
          </w:tcPr>
          <w:p>
            <w:r>
              <w:t>CONDITIONAL</w:t>
            </w:r>
          </w:p>
        </w:tc>
      </w:tr>
      <w:tr>
        <w:tc>
          <w:tcPr>
            <w:tcW w:type="dxa" w:w="5040"/>
          </w:tcPr>
          <w:p>
            <w:r>
              <w:t>Boundary</w:t>
            </w:r>
          </w:p>
        </w:tc>
        <w:tc>
          <w:tcPr>
            <w:tcW w:type="dxa" w:w="5040"/>
          </w:tcPr>
          <w:p>
            <w:r>
              <w:t>PASS</w:t>
            </w:r>
          </w:p>
        </w:tc>
      </w:tr>
      <w:tr>
        <w:tc>
          <w:tcPr>
            <w:tcW w:type="dxa" w:w="5040"/>
          </w:tcPr>
          <w:p>
            <w:r>
              <w:t>Roadmap</w:t>
            </w:r>
          </w:p>
        </w:tc>
        <w:tc>
          <w:tcPr>
            <w:tcW w:type="dxa" w:w="5040"/>
          </w:tcPr>
          <w:p>
            <w:r>
              <w:t>44 / 44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Conformance</w:t>
            </w:r>
          </w:p>
        </w:tc>
        <w:tc>
          <w:tcPr>
            <w:tcW w:type="dxa" w:w="5040"/>
          </w:tcPr>
          <w:p>
            <w:r>
              <w:t>10 schemas PASS</w:t>
            </w:r>
          </w:p>
        </w:tc>
      </w:tr>
      <w:tr>
        <w:tc>
          <w:tcPr>
            <w:tcW w:type="dxa" w:w="5040"/>
          </w:tcPr>
          <w:p>
            <w:r>
              <w:t>Critic</w:t>
            </w:r>
          </w:p>
        </w:tc>
        <w:tc>
          <w:tcPr>
            <w:tcW w:type="dxa" w:w="5040"/>
          </w:tcPr>
          <w:p>
            <w:r>
              <w:t>0</w:t>
            </w:r>
          </w:p>
        </w:tc>
      </w:tr>
    </w:tbl>
    <w:p>
      <w:pPr>
        <w:pStyle w:val="Heading2"/>
      </w:pPr>
      <w:r>
        <w:t>181. Residual ownership and next route</w:t>
      </w:r>
    </w:p>
    <w:p>
      <w:pPr>
        <w:pStyle w:val="ListBullet"/>
      </w:pPr>
      <w:r>
        <w:t>TASK-012: self-maintenance, drift detection, fsck, deterministic rebuild and safe auto-repair.</w:t>
      </w:r>
    </w:p>
    <w:p>
      <w:pPr>
        <w:pStyle w:val="ListBullet"/>
      </w:pPr>
      <w:r>
        <w:t>TASK-013: plugin/provider/domain adapters including future Conformance adapters.</w:t>
      </w:r>
    </w:p>
    <w:p>
      <w:pPr>
        <w:pStyle w:val="ListBullet"/>
      </w:pPr>
      <w:r>
        <w:t>TASK-014: evidence-driven calibration of coverage, fairness and certification policy.</w:t>
      </w:r>
    </w:p>
    <w:p>
      <w:pPr>
        <w:pStyle w:val="ListBullet"/>
      </w:pPr>
      <w:r>
        <w:t>TASK-015: optional distributed/remote-worker Conformance execution.</w:t>
      </w:r>
    </w:p>
    <w:p>
      <w:pPr>
        <w:pStyle w:val="ListBullet"/>
      </w:pPr>
      <w:r>
        <w:t>Additional real platform/provider executions become new certification evidence without reopening TASK-011 core.</w:t>
      </w:r>
    </w:p>
    <w:p>
      <w:pPr>
        <w:pStyle w:val="Heading2"/>
      </w:pPr>
      <w:r>
        <w:t>182. Ver.2.19 Canonical Promotion Record</w:t>
      </w:r>
    </w:p>
    <w:p>
      <w:r>
        <w:t>Architecture Ver.2.19 is CURRENT_CANONICAL; Ver.2.18 becomes historical baseline. TASK-011 is COMPLETED; TASK-012 is NEXT / NOT_STARTED / NOT_AUTHORIZED; TASK-013〜015 remain PROPOSED / NOT_STARTED / NOT_AUTHORIZED.</w:t>
      </w:r>
    </w:p>
    <w:p>
      <w:pPr>
        <w:pStyle w:val="Heading1"/>
      </w:pPr>
      <w:r>
        <w:t>Part XXI — Post-TASK-011 Conformance Roadmap Refinement</w:t>
      </w:r>
    </w:p>
    <w:p>
      <w:pPr>
        <w:pStyle w:val="Heading2"/>
      </w:pPr>
      <w:r>
        <w:t>183. Authority and status</w:t>
      </w:r>
    </w:p>
    <w:p>
      <w:pPr>
        <w:pStyle w:val="FirstParagraph"/>
      </w:pPr>
      <w:r>
        <w:t>TASK-011 remains COMPLETED. This refinement does not reopen ConformanceOS implementation and does not authorize TASK-012〜015. Architecture Ver.2.20 Part XV remains the single current roadmap authority. BAI_Development_OS_Post_TASK011_Roadmap_Refinement_Ver1.0.md is the historical source for the four TASK-011-derived consolidated sections.</w:t>
      </w:r>
    </w:p>
    <w:p>
      <w:pPr>
        <w:pStyle w:val="Heading2"/>
      </w:pPr>
      <w:r>
        <w:t>184. TASK-011-derived future ownership</w:t>
      </w:r>
    </w:p>
    <w:tbl>
      <w:tblPr>
        <w:tblW w:type="auto" w:w="0"/>
        <w:tblLook w:firstColumn="1" w:firstRow="1" w:lastColumn="0" w:lastRow="0" w:noHBand="0" w:noVBand="1" w:val="04A0"/>
      </w:tblPr>
      <w:tblGrid>
        <w:gridCol w:w="5040"/>
        <w:gridCol w:w="5040"/>
      </w:tblGrid>
      <w:tr>
        <w:tc>
          <w:tcPr>
            <w:tcW w:type="dxa" w:w="5040"/>
          </w:tcPr>
          <w:p>
            <w:r>
              <w:t>Task</w:t>
            </w:r>
          </w:p>
        </w:tc>
        <w:tc>
          <w:tcPr>
            <w:tcW w:type="dxa" w:w="5040"/>
          </w:tcPr>
          <w:p>
            <w:r>
              <w:t>TASK-011-derived future ownership</w:t>
            </w:r>
          </w:p>
        </w:tc>
      </w:tr>
      <w:tr>
        <w:tc>
          <w:tcPr>
            <w:tcW w:type="dxa" w:w="5040"/>
          </w:tcPr>
          <w:p>
            <w:r>
              <w:t>TASK-012</w:t>
            </w:r>
          </w:p>
        </w:tc>
        <w:tc>
          <w:tcPr>
            <w:tcW w:type="dxa" w:w="5040"/>
          </w:tcPr>
          <w:p>
            <w:r>
              <w:t>Conformance fsck, stale evidence/certification drift, interrupted-run reconciliation, deterministic certification rebuild and quarantine</w:t>
            </w:r>
          </w:p>
        </w:tc>
      </w:tr>
      <w:tr>
        <w:tc>
          <w:tcPr>
            <w:tcW w:type="dxa" w:w="5040"/>
          </w:tcPr>
          <w:p>
            <w:r>
              <w:t>TASK-013</w:t>
            </w:r>
          </w:p>
        </w:tc>
        <w:tc>
          <w:tcPr>
            <w:tcW w:type="dxa" w:w="5040"/>
          </w:tcPr>
          <w:p>
            <w:r>
              <w:t>Platform Probe, Consumer Runner, Sandbox, Fixture, Provider Conformance and Evidence Provider SDKs</w:t>
            </w:r>
          </w:p>
        </w:tc>
      </w:tr>
      <w:tr>
        <w:tc>
          <w:tcPr>
            <w:tcW w:type="dxa" w:w="5040"/>
          </w:tcPr>
          <w:p>
            <w:r>
              <w:t>TASK-014</w:t>
            </w:r>
          </w:p>
        </w:tc>
        <w:tc>
          <w:tcPr>
            <w:tcW w:type="dxa" w:w="5040"/>
          </w:tcPr>
          <w:p>
            <w:r>
              <w:t>evidence freshness, flakiness, fairness/noisy-neighbor, coverage and certification calibration with fixed evidence floors</w:t>
            </w:r>
          </w:p>
        </w:tc>
      </w:tr>
      <w:tr>
        <w:tc>
          <w:tcPr>
            <w:tcW w:type="dxa" w:w="5040"/>
          </w:tcPr>
          <w:p>
            <w:r>
              <w:t>TASK-015</w:t>
            </w:r>
          </w:p>
        </w:tc>
        <w:tc>
          <w:tcPr>
            <w:tcW w:type="dxa" w:w="5040"/>
          </w:tcPr>
          <w:p>
            <w:r>
              <w:t>optional remote/distributed Conformance workers, signed evidence, capability scheduling, lease/fencing and heterogeneous real-platform execution</w:t>
            </w:r>
          </w:p>
        </w:tc>
      </w:tr>
    </w:tbl>
    <w:p>
      <w:pPr/>
      <w:r>
        <w:t>Additional real Windows/macOS/provider executions become new evidence under these extension/execution surfaces and do not reopen TASK-011 core.</w:t>
      </w:r>
    </w:p>
    <w:p>
      <w:pPr>
        <w:pStyle w:val="Heading2"/>
      </w:pPr>
      <w:r>
        <w:t>185. Lossless roadmap rule</w:t>
      </w:r>
    </w:p>
    <w:p>
      <w:pPr>
        <w:pStyle w:val="FirstParagraph"/>
      </w:pPr>
      <w:r>
        <w:t>The accumulated roadmap source count increases from 44 to 48. npm run check:roadmap MUST verify all 48 source bodies remain represented in Part XV. Silent deletion remains forbidden; intentional supersession requires reason, authority, replacement/migration path and acceptance evidence.</w:t>
      </w:r>
    </w:p>
    <w:p>
      <w:pPr>
        <w:pStyle w:val="Heading2"/>
      </w:pPr>
      <w:r>
        <w:t>186. Current route</w:t>
      </w:r>
    </w:p>
    <w:p>
      <w:pPr/>
      <w:r>
        <w:t>TASK-011: COMPLETED.</w:t>
      </w:r>
    </w:p>
    <w:p>
      <w:pPr/>
      <w:r>
        <w:t>TASK-012: NEXT / NOT_STARTED / NOT_AUTHORIZED.</w:t>
      </w:r>
    </w:p>
    <w:p>
      <w:pPr/>
      <w:r>
        <w:t>TASK-013〜015: PROPOSED / NOT_STARTED / NOT_AUTHORIZED.</w:t>
      </w:r>
    </w:p>
    <w:p>
      <w:pPr/>
      <w:r>
        <w:t>No TASK-016 is created.</w:t>
      </w:r>
    </w:p>
    <w:p>
      <w:pPr>
        <w:pStyle w:val="Heading2"/>
      </w:pPr>
      <w:r>
        <w:t>187. Ver.2.20 Canonical Promotion Record</w:t>
      </w:r>
    </w:p>
    <w:p>
      <w:pPr>
        <w:pStyle w:val="FirstParagraph"/>
      </w:pPr>
      <w:r>
        <w:t>Architecture Ver.2.20 is CURRENT_CANONICAL; Ver.2.19 becomes immutable historical baseline. Part XV remains the single consolidated roadmap authority, now including TASK-011-derived additions for TASK-012〜015.</w:t>
      </w:r>
    </w:p>
    <w:p>
      <w:r>
        <w:br w:type="page"/>
      </w:r>
    </w:p>
    <w:p>
      <w:pPr>
        <w:pStyle w:val="Heading1"/>
      </w:pPr>
      <w:r>
        <w:t>Part XXII — TASK-012 Self-Maintenance, Drift Detection &amp; Safe Auto-Repair Completion</w:t>
      </w:r>
    </w:p>
    <w:p>
      <w:pPr>
        <w:pStyle w:val="Heading2"/>
      </w:pPr>
      <w:r>
        <w:t>188. Current authority after TASK-012</w:t>
      </w:r>
    </w:p>
    <w:p>
      <w:pPr>
        <w:pStyle w:val="ListBullet"/>
      </w:pPr>
      <w:r>
        <w:t>Architecture Ver.2.21 is CURRENT_CANONICAL.</w:t>
      </w:r>
    </w:p>
    <w:p>
      <w:pPr>
        <w:pStyle w:val="ListBullet"/>
      </w:pPr>
      <w:r>
        <w:t>TASK-012 is COMPLETED.</w:t>
      </w:r>
    </w:p>
    <w:p>
      <w:pPr>
        <w:pStyle w:val="ListBullet"/>
      </w:pPr>
      <w:r>
        <w:t>TASK-012 Detailed Design Ver.1.0 is subsystem canonical.</w:t>
      </w:r>
    </w:p>
    <w:p>
      <w:pPr>
        <w:pStyle w:val="ListBullet"/>
      </w:pPr>
      <w:r>
        <w:t>TASK-013 — Domain Adapter / Plugin SDK is NEXT / NOT_STARTED / NOT_AUTHORIZED.</w:t>
      </w:r>
    </w:p>
    <w:p>
      <w:pPr>
        <w:pStyle w:val="ListBullet"/>
      </w:pPr>
      <w:r>
        <w:t>TASK-014〜015 remain PROPOSED / NOT_STARTED / NOT_AUTHORIZED.</w:t>
      </w:r>
    </w:p>
    <w:p>
      <w:pPr>
        <w:pStyle w:val="Heading2"/>
      </w:pPr>
      <w:r>
        <w:t>189. MaintenanceOS architecture</w:t>
      </w:r>
    </w:p>
    <w:p>
      <w:r>
        <w:t>MaintenanceOS unifies long-lived diagnosis and safe repair through Finding → Fsck Report → Repair Plan → Checkpoint → Execute → Verify → Rollback / Quarantine → Audit. It coordinates maintenance without taking Lifecycle, Knowledge, Security, Release, Conformance, Monitoring, Integration or Owner authority.</w:t>
      </w:r>
    </w:p>
    <w:p>
      <w:pPr>
        <w:pStyle w:val="Heading2"/>
      </w:pPr>
      <w:r>
        <w:t>190. Finding, fsck and repair classification</w:t>
      </w:r>
    </w:p>
    <w:p>
      <w:pPr>
        <w:pStyle w:val="ListBullet"/>
      </w:pPr>
      <w:r>
        <w:t>Findings are immutable/checksummed and carry severity, subject, artifact class, risk flags, repair class and evidence.</w:t>
      </w:r>
    </w:p>
    <w:p>
      <w:pPr>
        <w:pStyle w:val="ListBullet"/>
      </w:pPr>
      <w:r>
        <w:t>Fsck status is PASS / DEGRADED / BLOCKED and is read-only by default.</w:t>
      </w:r>
    </w:p>
    <w:p>
      <w:pPr>
        <w:pStyle w:val="ListBullet"/>
      </w:pPr>
      <w:r>
        <w:t>Repair classes are NONE / AUTO_REVERSIBLE / OWNER_REQUIRED / QUARANTINE_ONLY.</w:t>
      </w:r>
    </w:p>
    <w:p>
      <w:pPr>
        <w:pStyle w:val="ListBullet"/>
      </w:pPr>
      <w:r>
        <w:t>Canonical, Authority, Trust, destructive or ambiguous external findings cannot silently become automatic repair.</w:t>
      </w:r>
    </w:p>
    <w:p>
      <w:pPr>
        <w:pStyle w:val="Heading2"/>
      </w:pPr>
      <w:r>
        <w:t>191. Safe automatic repair boundary</w:t>
      </w:r>
    </w:p>
    <w:p>
      <w:r>
        <w:t>Automatic repair is restricted to low-risk, reversible derived/cache/temporary state. Every automatic/quarantine handler revalidates its precondition immediately before mutation. Owner-required work needs a non-empty owner_authorization_ref; a boolean is not authorization evidence.</w:t>
      </w:r>
    </w:p>
    <w:p>
      <w:pPr>
        <w:pStyle w:val="Heading2"/>
      </w:pPr>
      <w:r>
        <w:t>192. Durable single-use execution and crash semantics</w:t>
      </w:r>
    </w:p>
    <w:p>
      <w:pPr>
        <w:pStyle w:val="ListBullet"/>
      </w:pPr>
      <w:r>
        <w:t>Repair execution state is stored under .bai-os/maintenance/executions using exclusive creation.</w:t>
      </w:r>
    </w:p>
    <w:p>
      <w:pPr>
        <w:pStyle w:val="ListBullet"/>
      </w:pPr>
      <w:r>
        <w:t>A Repair Plan is single-use; duplicate execution is rejected.</w:t>
      </w:r>
    </w:p>
    <w:p>
      <w:pPr>
        <w:pStyle w:val="ListBullet"/>
      </w:pPr>
      <w:r>
        <w:t>STARTED or EXECUTING_OPERATION after a crash produces MAINTENANCE_REPAIR_RECOVERY_REQUIRED.</w:t>
      </w:r>
    </w:p>
    <w:p>
      <w:pPr>
        <w:pStyle w:val="ListBullet"/>
      </w:pPr>
      <w:r>
        <w:t>Opaque/domain side effects are never replayed by guess; abandoning incomplete execution requires Owner evidence.</w:t>
      </w:r>
    </w:p>
    <w:p>
      <w:pPr>
        <w:pStyle w:val="Heading2"/>
      </w:pPr>
      <w:r>
        <w:t>193. Checkpoint, rollback, quarantine and retention</w:t>
      </w:r>
    </w:p>
    <w:p>
      <w:pPr>
        <w:pStyle w:val="ListBullet"/>
      </w:pPr>
      <w:r>
        <w:t>Checkpoints capture prior presence, bytes and checksum.</w:t>
      </w:r>
    </w:p>
    <w:p>
      <w:pPr>
        <w:pStyle w:val="ListBullet"/>
      </w:pPr>
      <w:r>
        <w:t>Verification failure may rollback only through an explicit verified rollback path.</w:t>
      </w:r>
    </w:p>
    <w:p>
      <w:pPr>
        <w:pStyle w:val="ListBullet"/>
      </w:pPr>
      <w:r>
        <w:t>Integrity-ambiguous files may be moved into trusted-root quarantine.</w:t>
      </w:r>
    </w:p>
    <w:p>
      <w:pPr>
        <w:pStyle w:val="ListBullet"/>
      </w:pPr>
      <w:r>
        <w:t>Retention automatically collects only expired unprotected derived/cache/temporary data; Canonical/audit/rollback evidence is protected.</w:t>
      </w:r>
    </w:p>
    <w:p>
      <w:pPr>
        <w:pStyle w:val="ListBullet"/>
      </w:pPr>
      <w:r>
        <w:t>Cross-format drift separates rebuildable missing representation from semantic drift requiring Owner review.</w:t>
      </w:r>
    </w:p>
    <w:p>
      <w:pPr>
        <w:pStyle w:val="Heading2"/>
      </w:pPr>
      <w:r>
        <w:t>194. Cross-subsystem maintenance adapters</w:t>
      </w:r>
    </w:p>
    <w:tbl>
      <w:tblPr>
        <w:tblStyle w:val="TableGrid"/>
        <w:tblW w:type="auto" w:w="0"/>
        <w:jc w:val="center"/>
        <w:tblLook w:firstColumn="1" w:firstRow="1" w:lastColumn="0" w:lastRow="0" w:noHBand="0" w:noVBand="1" w:val="04A0"/>
      </w:tblPr>
      <w:tblGrid>
        <w:gridCol w:w="5040"/>
        <w:gridCol w:w="5040"/>
      </w:tblGrid>
      <w:tr>
        <w:tc>
          <w:tcPr>
            <w:tcW w:type="dxa" w:w="5040"/>
          </w:tcPr>
          <w:p>
            <w:r>
              <w:t>Subsystem</w:t>
            </w:r>
          </w:p>
        </w:tc>
        <w:tc>
          <w:tcPr>
            <w:tcW w:type="dxa" w:w="5040"/>
          </w:tcPr>
          <w:p>
            <w:r>
              <w:t>Maintenance boundary</w:t>
            </w:r>
          </w:p>
        </w:tc>
      </w:tr>
      <w:tr>
        <w:tc>
          <w:tcPr>
            <w:tcW w:type="dxa" w:w="5040"/>
          </w:tcPr>
          <w:p>
            <w:r>
              <w:t>Knowledge</w:t>
            </w:r>
          </w:p>
        </w:tc>
        <w:tc>
          <w:tcPr>
            <w:tcW w:type="dxa" w:w="5040"/>
          </w:tcPr>
          <w:p>
            <w:r>
              <w:t>Verify canonical repository; derived rebuild only from verified canonical knowledge.</w:t>
            </w:r>
          </w:p>
        </w:tc>
      </w:tr>
      <w:tr>
        <w:tc>
          <w:tcPr>
            <w:tcW w:type="dxa" w:w="5040"/>
          </w:tcPr>
          <w:p>
            <w:r>
              <w:t>Monitoring</w:t>
            </w:r>
          </w:p>
        </w:tc>
        <w:tc>
          <w:tcPr>
            <w:tcW w:type="dxa" w:w="5040"/>
          </w:tcPr>
          <w:p>
            <w:r>
              <w:t>Verify ledger/derived state; do not guess audit provenance.</w:t>
            </w:r>
          </w:p>
        </w:tc>
      </w:tr>
      <w:tr>
        <w:tc>
          <w:tcPr>
            <w:tcW w:type="dxa" w:w="5040"/>
          </w:tcPr>
          <w:p>
            <w:r>
              <w:t>Integration</w:t>
            </w:r>
          </w:p>
        </w:tc>
        <w:tc>
          <w:tcPr>
            <w:tcW w:type="dxa" w:w="5040"/>
          </w:tcPr>
          <w:p>
            <w:r>
              <w:t>Audit corruption is authority-sensitive; ambiguous external effect is not guessed.</w:t>
            </w:r>
          </w:p>
        </w:tc>
      </w:tr>
      <w:tr>
        <w:tc>
          <w:tcPr>
            <w:tcW w:type="dxa" w:w="5040"/>
          </w:tcPr>
          <w:p>
            <w:r>
              <w:t>Security</w:t>
            </w:r>
          </w:p>
        </w:tc>
        <w:tc>
          <w:tcPr>
            <w:tcW w:type="dxa" w:w="5040"/>
          </w:tcPr>
          <w:p>
            <w:r>
              <w:t>Signed-ledger/Trust corruption is Owner-required; Journal state controls recovery.</w:t>
            </w:r>
          </w:p>
        </w:tc>
      </w:tr>
      <w:tr>
        <w:tc>
          <w:tcPr>
            <w:tcW w:type="dxa" w:w="5040"/>
          </w:tcPr>
          <w:p>
            <w:r>
              <w:t>Release</w:t>
            </w:r>
          </w:p>
        </w:tc>
        <w:tc>
          <w:tcPr>
            <w:tcW w:type="dxa" w:w="5040"/>
          </w:tcPr>
          <w:p>
            <w:r>
              <w:t>Verify installed/checkpoint/attestation; structured stale-lock evidence.</w:t>
            </w:r>
          </w:p>
        </w:tc>
      </w:tr>
      <w:tr>
        <w:tc>
          <w:tcPr>
            <w:tcW w:type="dxa" w:w="5040"/>
          </w:tcPr>
          <w:p>
            <w:r>
              <w:t>Conformance</w:t>
            </w:r>
          </w:p>
        </w:tc>
        <w:tc>
          <w:tcPr>
            <w:tcW w:type="dxa" w:w="5040"/>
          </w:tcPr>
          <w:p>
            <w:r>
              <w:t>Verify checksum/freshness/environment drift; never promote SIMULATED/DECLARED to REAL.</w:t>
            </w:r>
          </w:p>
        </w:tc>
      </w:tr>
    </w:tbl>
    <w:p>
      <w:pPr>
        <w:pStyle w:val="Heading2"/>
      </w:pPr>
      <w:r>
        <w:t>195. Release stale-lock hardening</w:t>
      </w:r>
    </w:p>
    <w:p>
      <w:r>
        <w:t>Release lock v1.1 records lock name, PID, host, random owner token and acquisition time. Automatic reclaim requires same verified host, owner token, valid PID, process confirmed dead and sufficient age. Legacy PID-only or unknown-host locks are ambiguous and never removed merely because they are old.</w:t>
      </w:r>
    </w:p>
    <w:p>
      <w:pPr>
        <w:pStyle w:val="Heading2"/>
      </w:pPr>
      <w:r>
        <w:t>196. Security Journal recovery policy</w:t>
      </w:r>
    </w:p>
    <w:p>
      <w:r>
        <w:t>Stale PREPARED Journal transactions may be automatically rolled back only when Journal semantics prove no target mutation began. Interrupted COMMITTING state is Canonical-sensitive and remains Owner-required. MaintenanceOS does not infer transaction outcome.</w:t>
      </w:r>
    </w:p>
    <w:p>
      <w:pPr>
        <w:pStyle w:val="Heading2"/>
      </w:pPr>
      <w:r>
        <w:t>197. Critic findings resolved</w:t>
      </w:r>
    </w:p>
    <w:p>
      <w:pPr>
        <w:pStyle w:val="ListBullet"/>
      </w:pPr>
      <w:r>
        <w:t>No false quarantine success when handler is absent.</w:t>
      </w:r>
    </w:p>
    <w:p>
      <w:pPr>
        <w:pStyle w:val="ListBullet"/>
      </w:pPr>
      <w:r>
        <w:t>Fsck is read-only by default.</w:t>
      </w:r>
    </w:p>
    <w:p>
      <w:pPr>
        <w:pStyle w:val="ListBullet"/>
      </w:pPr>
      <w:r>
        <w:t>Repair Plans are durable, single-use and crash-aware.</w:t>
      </w:r>
    </w:p>
    <w:p>
      <w:pPr>
        <w:pStyle w:val="ListBullet"/>
      </w:pPr>
      <w:r>
        <w:t>Owner authorization is reference-bound and Owner-wait does not consume the plan.</w:t>
      </w:r>
    </w:p>
    <w:p>
      <w:pPr>
        <w:pStyle w:val="ListBullet"/>
      </w:pPr>
      <w:r>
        <w:t>Automatic mutation requires immediate revalidation.</w:t>
      </w:r>
    </w:p>
    <w:p>
      <w:pPr>
        <w:pStyle w:val="ListBullet"/>
      </w:pPr>
      <w:r>
        <w:t>Release stale-lock recovery no longer relies on timeout/PID-only legacy evidence.</w:t>
      </w:r>
    </w:p>
    <w:p>
      <w:pPr>
        <w:pStyle w:val="ListBullet"/>
      </w:pPr>
      <w:r>
        <w:t>Derived/cache corruption is distinct from Canonical/Trust corruption.</w:t>
      </w:r>
    </w:p>
    <w:p>
      <w:pPr>
        <w:pStyle w:val="ListBullet"/>
      </w:pPr>
      <w:r>
        <w:t>Conformance checksum is canonical/deterministic.</w:t>
      </w:r>
    </w:p>
    <w:p>
      <w:pPr>
        <w:pStyle w:val="ListBullet"/>
      </w:pPr>
      <w:r>
        <w:t>COMMITTING Journal recovery remains fail-closed.</w:t>
      </w:r>
    </w:p>
    <w:p>
      <w:r>
        <w:t>Blocking Critic findings: 0.</w:t>
      </w:r>
    </w:p>
    <w:p>
      <w:pPr>
        <w:pStyle w:val="Heading2"/>
      </w:pPr>
      <w:r>
        <w:t>198. Verification baseline</w:t>
      </w:r>
    </w:p>
    <w:tbl>
      <w:tblPr>
        <w:tblStyle w:val="TableGrid"/>
        <w:tblW w:type="auto" w:w="0"/>
        <w:jc w:val="center"/>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TASK-012 Maintenance</w:t>
            </w:r>
          </w:p>
        </w:tc>
        <w:tc>
          <w:tcPr>
            <w:tcW w:type="dxa" w:w="5040"/>
          </w:tcPr>
          <w:p>
            <w:r>
              <w:t>75 / 75 PASS</w:t>
            </w:r>
          </w:p>
        </w:tc>
      </w:tr>
      <w:tr>
        <w:tc>
          <w:tcPr>
            <w:tcW w:type="dxa" w:w="5040"/>
          </w:tcPr>
          <w:p>
            <w:r>
              <w:t>Full BAI Development OS</w:t>
            </w:r>
          </w:p>
        </w:tc>
        <w:tc>
          <w:tcPr>
            <w:tcW w:type="dxa" w:w="5040"/>
          </w:tcPr>
          <w:p>
            <w:r>
              <w:t>898 / 898 PASS</w:t>
            </w:r>
          </w:p>
        </w:tc>
      </w:tr>
      <w:tr>
        <w:tc>
          <w:tcPr>
            <w:tcW w:type="dxa" w:w="5040"/>
          </w:tcPr>
          <w:p>
            <w:r>
              <w:t>JavaScript Roulette 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 Consolidation</w:t>
            </w:r>
          </w:p>
        </w:tc>
        <w:tc>
          <w:tcPr>
            <w:tcW w:type="dxa" w:w="5040"/>
          </w:tcPr>
          <w:p>
            <w:r>
              <w:t>48 / 48 PASS</w:t>
            </w:r>
          </w:p>
        </w:tc>
      </w:tr>
      <w:tr>
        <w:tc>
          <w:tcPr>
            <w:tcW w:type="dxa" w:w="5040"/>
          </w:tcPr>
          <w:p>
            <w:r>
              <w:t>Security Conformance</w:t>
            </w:r>
          </w:p>
        </w:tc>
        <w:tc>
          <w:tcPr>
            <w:tcW w:type="dxa" w:w="5040"/>
          </w:tcPr>
          <w:p>
            <w:r>
              <w:t>9 schemas PASS</w:t>
            </w:r>
          </w:p>
        </w:tc>
      </w:tr>
      <w:tr>
        <w:tc>
          <w:tcPr>
            <w:tcW w:type="dxa" w:w="5040"/>
          </w:tcPr>
          <w:p>
            <w:r>
              <w:t>Release Conformance</w:t>
            </w:r>
          </w:p>
        </w:tc>
        <w:tc>
          <w:tcPr>
            <w:tcW w:type="dxa" w:w="5040"/>
          </w:tcPr>
          <w:p>
            <w:r>
              <w:t>8 schemas PASS</w:t>
            </w:r>
          </w:p>
        </w:tc>
      </w:tr>
      <w:tr>
        <w:tc>
          <w:tcPr>
            <w:tcW w:type="dxa" w:w="5040"/>
          </w:tcPr>
          <w:p>
            <w:r>
              <w:t>Conformance Conformance</w:t>
            </w:r>
          </w:p>
        </w:tc>
        <w:tc>
          <w:tcPr>
            <w:tcW w:type="dxa" w:w="5040"/>
          </w:tcPr>
          <w:p>
            <w:r>
              <w:t>10 schemas PASS</w:t>
            </w:r>
          </w:p>
        </w:tc>
      </w:tr>
      <w:tr>
        <w:tc>
          <w:tcPr>
            <w:tcW w:type="dxa" w:w="5040"/>
          </w:tcPr>
          <w:p>
            <w:r>
              <w:t>Maintenance Conformance</w:t>
            </w:r>
          </w:p>
        </w:tc>
        <w:tc>
          <w:tcPr>
            <w:tcW w:type="dxa" w:w="5040"/>
          </w:tcPr>
          <w:p>
            <w:r>
              <w:t>7 schemas / 6 shared contracts PASS</w:t>
            </w:r>
          </w:p>
        </w:tc>
      </w:tr>
      <w:tr>
        <w:tc>
          <w:tcPr>
            <w:tcW w:type="dxa" w:w="5040"/>
          </w:tcPr>
          <w:p>
            <w:r>
              <w:t>Critic</w:t>
            </w:r>
          </w:p>
        </w:tc>
        <w:tc>
          <w:tcPr>
            <w:tcW w:type="dxa" w:w="5040"/>
          </w:tcPr>
          <w:p>
            <w:r>
              <w:t>0 blocking</w:t>
            </w:r>
          </w:p>
        </w:tc>
      </w:tr>
    </w:tbl>
    <w:p>
      <w:pPr>
        <w:pStyle w:val="Heading2"/>
      </w:pPr>
      <w:r>
        <w:t>199. Accepted residual ownership</w:t>
      </w:r>
    </w:p>
    <w:p>
      <w:pPr>
        <w:pStyle w:val="ListBullet"/>
      </w:pPr>
      <w:r>
        <w:t>TASK-013 owns provider/domain-specific rebuilders, atomic preconditions and reconciliation plugins.</w:t>
      </w:r>
    </w:p>
    <w:p>
      <w:pPr>
        <w:pStyle w:val="ListBullet"/>
      </w:pPr>
      <w:r>
        <w:t>TASK-014 owns adaptive freshness, retention, cadence and threshold calibration.</w:t>
      </w:r>
    </w:p>
    <w:p>
      <w:pPr>
        <w:pStyle w:val="ListBullet"/>
      </w:pPr>
      <w:r>
        <w:t>TASK-015 owns distributed repair leases, fencing, remote recovery and cross-machine reconciliation.</w:t>
      </w:r>
    </w:p>
    <w:p>
      <w:pPr>
        <w:pStyle w:val="ListBullet"/>
      </w:pPr>
      <w:r>
        <w:t>Opaque external/domain side effects remain RECOVERY_REQUIRED or Owner-gated until a domain-specific reconciler proves state.</w:t>
      </w:r>
    </w:p>
    <w:p>
      <w:pPr>
        <w:pStyle w:val="Heading2"/>
      </w:pPr>
      <w:r>
        <w:t>200. Ver.2.21 Canonical Promotion Record</w:t>
      </w:r>
    </w:p>
    <w:p>
      <w:r>
        <w:t>Architecture Ver.2.21 is CURRENT_CANONICAL; Ver.2.20 becomes immutable historical baseline. TASK-012 is COMPLETED; TASK-013 is NEXT / NOT_STARTED / NOT_AUTHORIZED; TASK-014〜015 remain future and unauthorized.</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