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rFonts w:ascii="Calibri" w:hAnsi="Calibri" w:eastAsia="Microsoft YaHei"/>
          <w:b/>
          <w:color w:val="0B2545"/>
          <w:sz w:val="46"/>
        </w:rPr>
        <w:t>组合价需求文档</w:t>
      </w:r>
    </w:p>
    <w:p>
      <w:pPr>
        <w:spacing w:after="280"/>
      </w:pPr>
      <w:r>
        <w:rPr>
          <w:rFonts w:ascii="Calibri" w:hAnsi="Calibri" w:eastAsia="Microsoft YaHei"/>
          <w:b w:val="0"/>
          <w:color w:val="666666"/>
          <w:sz w:val="24"/>
        </w:rPr>
        <w:t>覆盖 ERP 配置、管理后台查询与小程序商城展示/结算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所属模块：</w:t>
      </w:r>
      <w:r>
        <w:rPr>
          <w:rFonts w:ascii="Calibri" w:hAnsi="Calibri" w:eastAsia="Microsoft YaHei"/>
          <w:b w:val="0"/>
          <w:color w:val="333333"/>
          <w:sz w:val="21"/>
        </w:rPr>
        <w:t>营销中心 &gt; 门店促销 &gt; 组合价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b w:val="0"/>
          <w:color w:val="333333"/>
          <w:sz w:val="21"/>
        </w:rPr>
        <w:t>V1.0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b w:val="0"/>
          <w:color w:val="333333"/>
          <w:sz w:val="21"/>
        </w:rPr>
        <w:t>2026-08-07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0B2545"/>
          <w:sz w:val="21"/>
        </w:rPr>
        <w:t>维护边界：</w:t>
      </w:r>
      <w:r>
        <w:rPr>
          <w:rFonts w:ascii="Calibri" w:hAnsi="Calibri" w:eastAsia="Microsoft YaHei"/>
          <w:b w:val="0"/>
          <w:color w:val="333333"/>
          <w:sz w:val="21"/>
        </w:rPr>
        <w:t>活动与组合规则由 ERP 维护；后台负责查询与详情展示；小程序商城负责展示、凑单引导和结算呈现</w:t>
      </w:r>
    </w:p>
    <w:p>
      <w:pPr>
        <w:spacing w:before="160"/>
        <w:pBdr>
          <w:bottom w:val="single" w:sz="12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一、需求背景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为提升关联商品的连带购买，门店需要将指定商品按指定数量组成一个固定价格的销售组合。消费者在小程序商城凑齐组合商品后，可按组合价购买；活动、组合明细、适用门店、时段和适用对象需要与 ERP 配置保持一致。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组合价不在管理后台重复维护。ERP 是活动创建、编辑、启停、审批及商品范围维护的唯一来源；管理后台用于查询和核对，商城与结算端以已同步且当前有效的组合规则为准。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E1F0"/>
          <w:left w:val="single" w:sz="4" w:space="0" w:color="D5E1F0"/>
          <w:bottom w:val="single" w:sz="4" w:space="0" w:color="D5E1F0"/>
          <w:right w:val="single" w:sz="4" w:space="0" w:color="D5E1F0"/>
          <w:insideH w:val="single" w:sz="4" w:space="0" w:color="D5E1F0"/>
          <w:insideV w:val="single" w:sz="4" w:space="0" w:color="D5E1F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 w:val="clea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核心原则：</w:t>
            </w: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同一组合必须同时满足全部指定商品及数量，才可享受组合固定价；商品展示、购物车、订单提交和售后关联的价格口径必须一致。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二、需求目标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让 ERP 能够集中维护组合价活动、组合商品、数量、固定组合价、门店、时间与适用对象，并将有效数据下发至商城。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让运营与门店人员在管理后台快速查询活动状态、适用范围和组合商品明细，核对商城生效数据。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让消费者在小程序商城清楚识别可参与组合价的商品，并得到凑齐组合所需商品的引导。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保障组合价、会员价与其他促销的优先级判断一致，避免商品页、购物车和结算页出现价格不一致。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确保订单记录可追溯组合活动与组合明细，为履约、退款和对账提供依据。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三、业务流程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组合价活动由 ERP 配置并同步至营销服务，管理后台提供只读查询与详情核对；小程序商城基于有效规则展示、凑单并在结算时校验组合资格。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700"/>
        <w:gridCol w:w="1300"/>
        <w:gridCol w:w="4400"/>
        <w:gridCol w:w="2960"/>
      </w:tblGrid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步骤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处理方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业务动作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产出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ERP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创建或维护组合价活动，配置组合商品、每组数量、组合固定价、门店、时间、适用对象与叠加规则。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可同步的组合价活动与组合明细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数据同步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将活动主数据、组合商品明细及状态同步至营销服务；失败时保留最近一次成功数据并告警。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商城可读取的有效组合规则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管理后台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按条件查询已同步活动，查看基本规则、组合商品和状态；不提供活动维护。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活动清单与只读详情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小程序商城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在商品页、购物车识别命中组合的商品，展示组合价与凑单进度，引导消费者凑齐组合。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组合价展示与凑单提示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结算/订单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提交订单前重新校验门店、时间、商品、数量和库存；满足条件按组合价计价并保存活动关联。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实际成交价与可追溯订单记录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E1F0"/>
          <w:left w:val="single" w:sz="4" w:space="0" w:color="D5E1F0"/>
          <w:bottom w:val="single" w:sz="4" w:space="0" w:color="D5E1F0"/>
          <w:right w:val="single" w:sz="4" w:space="0" w:color="D5E1F0"/>
          <w:insideH w:val="single" w:sz="4" w:space="0" w:color="D5E1F0"/>
          <w:insideV w:val="single" w:sz="4" w:space="0" w:color="D5E1F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 w:val="clea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资格判断：</w:t>
            </w: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组合资格以“同一订单、同一履约门店、有效活动期间、满足全部指定商品及数量”为准；任一商品缺失、数量不足、无货或不再适用时，该组合不生效。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四、产品方案概要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方案说明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ERP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提供组合价活动的创建、编辑、复制、启停、审批及商品组合维护；维护活动时间、门店、适用对象、组合固定价和叠加控制，并下发活动与组合明细。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数据同步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以 ERP 为唯一数据源同步活动主表、组合组、商品及数量明细、适用范围和状态；为商城提供可用的查询与价格计算数据。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管理后台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提供活动列表、条件查询、重置和只读详情；用于核验 ERP 同步结果，不提供新增、编辑、删除或回写 ERP 的操作。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小程序商城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在商品详情、购物车等承载交易价格的页面展示组合价、组合商品与凑单提示；完成组合时在购物车及结算页展示优惠结果。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计价与订单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以完整组合为计价单元；按 ERP 下发的组合固定价生效，并在订单中保存活动编号、组合编号、商品数量和分摊金额/规则。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五、产品方案细节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5.1 ERP - 组合价活动维护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ERP 为组合价活动的唯一维护入口。活动生效前应完成组合完整性、商品可售性、时间和门店范围校验；审批、权限和启停沿用 ERP 现有机制。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400"/>
        <w:gridCol w:w="3300"/>
        <w:gridCol w:w="4660"/>
      </w:tblGrid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区域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字段/动作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基本信息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活动名称、活动编号、活动状态、活动时间、适用门店、适用对象、参与日期/星期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活动编号全局唯一；状态按时间和 ERP 启停状态综合计算；门店、对象及日期条件均须满足。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组合信息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组合编号、组合名称、组合固定价、原价合计、限购规则、排序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组合固定价为该完整组合的总成交价；原价合计用于展示优惠，不参与最终结算。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组合商品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商品编码、商品名称、规格、每组数量、销售价、商品状态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每组商品与数量为必填；商品下架、禁售或不适用当前门店时，组合不得在商城生效。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活动操作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新建、编辑、复制、启用、停用、提前结束、审批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 ERP 提供上述维护操作；变更后按同步机制下发，商城以最近一次成功同步且有效的数据为准。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冲突校验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商品促销冲突、组合重复、价格合法性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同一商品同一时间仅参加一个促销活动；ERP 在保存/启用时拦截冲突。组合固定价必须大于 0 且低于组合原价合计。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5.2 管理后台 - 活动列表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入口路径：营销中心 &gt; 门店促销 &gt; 组合价。页面默认展示 ERP 已成功同步的组合价活动，仅支持查询、重置与查看详情。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400"/>
        <w:gridCol w:w="3300"/>
        <w:gridCol w:w="4660"/>
      </w:tblGrid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区域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字段/动作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活动名称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支持模糊查询。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活动编号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支持精确或包含查询，以 ERP 活动编号为准。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查询条件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活动时间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按活动起止时间筛选；与筛选时间区间存在交集的活动应被返回。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列表字段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活动名称、活动编号、组合数、组合固定价、活动时间、适用门店、活动状态、最后修改时间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字段来自 ERP 同步数据；组合固定价展示“起”价或代表价时，应明确展示口径。</w:t>
            </w:r>
          </w:p>
        </w:tc>
      </w:tr>
      <w:tr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操作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查询、重置、查看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重置清空全部查询条件并恢复默认列表；查看进入只读详情。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5.3 管理后台 - 活动详情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详情页用于核对 ERP 已配置的活动规则和组合商品，不提供编辑、删除、启停或 ERP 配置回写。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信息分组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展示字段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基本信息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活动名称、活动编号、活动状态、活动时间、适用门店、适用对象、参与日期/星期、最后修改时间。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组合信息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组合编号、组合名称、组合固定价、原价合计、限购规则、组合状态。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组合商品明细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商品编码、商品名称、规格、每组数量、销售价、商品状态；同一组合下的商品按 ERP 下发顺序展示。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价格分摊信息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 ERP 下发每商品分摊金额或分摊规则，后台只读展示；该信息用于订单、退款和对账核验。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5.4 小程序商城 - 展示与凑单规则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00"/>
        <w:gridCol w:w="4700"/>
        <w:gridCol w:w="27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页面/场景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展示与交互规则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生效条件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商品列表/商品详情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命中有效组合的商品展示“组合价 ¥X 起”标识；商品详情展示组合商品、每组数量、组合固定价及“加入组合/去凑单”入口。</w:t>
            </w:r>
          </w:p>
        </w:tc>
        <w:tc>
          <w:tcPr>
            <w:tcW w:type="dxa" w:w="2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仅在当前门店、当前时间、适用对象和商品状态均满足时展示。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组合详情/凑单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清晰列出组合内每个商品、需购数量与已选数量；可一键加入尚缺商品，商品不可售时给出原因提示。</w:t>
            </w:r>
          </w:p>
        </w:tc>
        <w:tc>
          <w:tcPr>
            <w:tcW w:type="dxa" w:w="2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同一组合内所有商品均可售且库存满足其数量时允许加入。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购物车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未凑齐时提示“再购 X 件可享组合价”；凑齐后以组合卡片展示组合固定价与节省金额。</w:t>
            </w:r>
          </w:p>
        </w:tc>
        <w:tc>
          <w:tcPr>
            <w:tcW w:type="dxa" w:w="2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商品必须属于同一履约门店与同一有效组合；跨门店商品不合并凑单。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结算页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展示实际生效的组合、组合价及优惠金额；若资格在结算前失效，刷新为当前可用价格并提示变化原因。</w:t>
            </w:r>
          </w:p>
        </w:tc>
        <w:tc>
          <w:tcPr>
            <w:tcW w:type="dxa" w:w="2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提交订单前必须再次校验活动、商品、数量、库存和用户适用资格。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商城文案统一使用“组合价 ¥X”“已选 A/B 件”“再购 X 件享组合价”。组合未凑齐时不得将组合固定价作为单品成交价或订单优惠展示。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5.5 价格生效、订单与售后规则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规则项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规则说明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完整组合计价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同一订单中，指定商品及每组数量完整满足时，整组按 ERP 下发的组合固定价计价；不完整部分按其可用的其他价格规则计价。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多组命中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同一购物车可组成多组时，系统按可完整组成的最大组数计算；剩余商品不参与组合价。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会员价比较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同一完整组合同时具备组合价与会员价时，比较“组合固定价”与“该组合商品按会员价计算的合计金额”，整组按更低金额生效，不允许跨两种价格拼接。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其他促销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同一商品同一时间仅参加一个促销活动；组合价与优惠券、满减等权益是否可叠加，以 ERP 下发的叠加配置为准。未下发时默认不叠加。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价格分摊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订单须保存组合价到商品行的分摊金额或分摊规则，所有行分摊金额之和必须等于组合固定价；分摊与舍入规则由 ERP 统一下发并在商城、订单、退款端一致执行。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库存与履约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结算前按组合商品及数量校验库存和履约门店；任一商品库存不足或不支持当前履约方式时，该组合不生效。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订单与退款</w:t>
            </w:r>
          </w:p>
        </w:tc>
        <w:tc>
          <w:tcPr>
            <w:tcW w:type="dxa" w:w="68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订单保存活动编号、组合编号、命中组数、商品数量与分摊信息。部分退款、整组退款和换货的价格恢复/优惠回收口径由 ERP 订单规则确定，商城按该结果展示。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5.6 状态、边界与待确认项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活动状态展示为未开始、进行中、已结束、已停用；状态由 ERP 启停状态与活动起止时间共同决定。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ERP 配置变更后的同步时效、失败重试、字段映射和告警策略由技术方案确认；同步未完成时，商城使用最近一次成功同步数据，并在结算时再次校验。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本期管理后台不包含组合价活动的新建、编辑、复制、删除、审批、权限配置、启停、提前结束及 ERP 数据回写。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待确认：组合价与优惠券/满减的叠加范围、限购维度（用户/订单/活动）、分摊及尾差舍入规则、部分退款或换货后的优惠回收规则。确认后需同步更新 ERP、商城、订单和售后规则。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5.7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100"/>
        <w:gridCol w:w="2500"/>
        <w:gridCol w:w="5760"/>
      </w:tblGrid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编号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验收项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AC-01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ERP 维护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ERP 可维护活动、组合固定价、组合商品及数量、门店、时间和适用对象，并在启用前拦截不完整组合、商品冲突或不合法价格。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AC-02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数据同步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后台与商城可读取 ERP 最近一次成功同步的活动、组合及商品明细；同步失败具备可追踪告警或错误记录。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AC-03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后台查询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可按活动名称、活动编号和活动时间查询；重置后恢复默认列表；详情完整展示活动与组合商品且不可编辑。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AC-04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商城展示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有效组合商品在商品详情、凑单页和购物车按规则展示组合价、需购数量和凑单进度；无效或不可售时不展示可成交的组合价。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AC-05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组合计价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仅完整组合按组合固定价生效；购物车存在多组时按最大完整组数计算；未凑齐商品不得错误享受组合价。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AC-06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价格一致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商品展示、购物车、结算页和订单中的组合价、会员价比较结果一致；整组会员价更低时整组按会员价生效。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AC-07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订单追溯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订单可追溯活动编号、组合编号、命中组数和商品行分摊金额/规则，分摊合计等于组合固定价。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AC-08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边界控制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管理后台无组合价维护入口；ERP 是活动及组合数据唯一维护来源，商城与后台不回写 ERP。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66666"/>
        <w:sz w:val="18"/>
      </w:rPr>
      <w:t>千金大药房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组合价需求文档</dc:title>
  <dc:subject>千金大药房组合价需求</dc:subject>
  <dc:creator>千金大药房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